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24C7E" w14:textId="38F3023E" w:rsidR="00441D1F" w:rsidRDefault="00B1709E" w:rsidP="00345D91">
      <w:pPr>
        <w:jc w:val="center"/>
        <w:rPr>
          <w:b/>
          <w:bCs/>
        </w:rPr>
      </w:pPr>
      <w:r w:rsidRPr="00B1709E">
        <w:rPr>
          <w:b/>
          <w:bCs/>
        </w:rPr>
        <w:t>МОНИТОРИНГ НА НАГЛАСИТЕ НА ГРАЖДАНИ И БИЗНЕС ОТНОСНО ПРИСЪЕДИНЯВАНЕТО НА БЪЛГАРИЯ КЪМ ЕВРОЗОНАТА</w:t>
      </w:r>
    </w:p>
    <w:p w14:paraId="7DD8C4E2" w14:textId="09698F8A" w:rsidR="00724BA8" w:rsidRDefault="00724BA8" w:rsidP="005842D6">
      <w:pPr>
        <w:jc w:val="both"/>
        <w:rPr>
          <w:b/>
          <w:bCs/>
          <w:i/>
          <w:iCs/>
        </w:rPr>
      </w:pPr>
      <w:r w:rsidRPr="00724BA8">
        <w:rPr>
          <w:b/>
          <w:bCs/>
          <w:i/>
          <w:iCs/>
        </w:rPr>
        <w:t>Основни резултати от националн</w:t>
      </w:r>
      <w:r>
        <w:rPr>
          <w:b/>
          <w:bCs/>
          <w:i/>
          <w:iCs/>
        </w:rPr>
        <w:t>о</w:t>
      </w:r>
      <w:r w:rsidR="00345D91">
        <w:rPr>
          <w:b/>
          <w:bCs/>
          <w:i/>
          <w:iCs/>
        </w:rPr>
        <w:t>-</w:t>
      </w:r>
      <w:r w:rsidRPr="00724BA8">
        <w:rPr>
          <w:b/>
          <w:bCs/>
          <w:i/>
          <w:iCs/>
        </w:rPr>
        <w:t>представителн</w:t>
      </w:r>
      <w:r>
        <w:rPr>
          <w:b/>
          <w:bCs/>
          <w:i/>
          <w:iCs/>
        </w:rPr>
        <w:t>о</w:t>
      </w:r>
      <w:r w:rsidRPr="00724BA8">
        <w:rPr>
          <w:b/>
          <w:bCs/>
          <w:i/>
          <w:iCs/>
        </w:rPr>
        <w:t xml:space="preserve"> проучван</w:t>
      </w:r>
      <w:r>
        <w:rPr>
          <w:b/>
          <w:bCs/>
          <w:i/>
          <w:iCs/>
        </w:rPr>
        <w:t>е</w:t>
      </w:r>
      <w:r w:rsidRPr="00724BA8">
        <w:rPr>
          <w:b/>
          <w:bCs/>
          <w:i/>
          <w:iCs/>
        </w:rPr>
        <w:t xml:space="preserve"> </w:t>
      </w:r>
    </w:p>
    <w:p w14:paraId="07A53BC6" w14:textId="4E18AA37" w:rsidR="00724BA8" w:rsidRDefault="00345D91" w:rsidP="005842D6">
      <w:pPr>
        <w:tabs>
          <w:tab w:val="num" w:pos="720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Настоящото н</w:t>
      </w:r>
      <w:r w:rsidR="00724BA8" w:rsidRPr="00724BA8">
        <w:rPr>
          <w:b/>
          <w:bCs/>
          <w:i/>
          <w:iCs/>
        </w:rPr>
        <w:t>ационално</w:t>
      </w:r>
      <w:r>
        <w:rPr>
          <w:b/>
          <w:bCs/>
          <w:i/>
          <w:iCs/>
        </w:rPr>
        <w:t>-</w:t>
      </w:r>
      <w:r w:rsidR="00724BA8" w:rsidRPr="00724BA8">
        <w:rPr>
          <w:b/>
          <w:bCs/>
          <w:i/>
          <w:iCs/>
        </w:rPr>
        <w:t xml:space="preserve">представително проучване е </w:t>
      </w:r>
      <w:r>
        <w:rPr>
          <w:b/>
          <w:bCs/>
          <w:i/>
          <w:iCs/>
        </w:rPr>
        <w:t>седмото</w:t>
      </w:r>
      <w:r w:rsidR="00724BA8" w:rsidRPr="00724BA8">
        <w:rPr>
          <w:b/>
          <w:bCs/>
          <w:i/>
          <w:iCs/>
        </w:rPr>
        <w:t xml:space="preserve"> поред в рамките на мониторинг</w:t>
      </w:r>
      <w:r w:rsidR="00724BA8">
        <w:rPr>
          <w:b/>
          <w:bCs/>
          <w:i/>
          <w:iCs/>
        </w:rPr>
        <w:t>а</w:t>
      </w:r>
      <w:r w:rsidR="00724BA8" w:rsidRPr="00724BA8">
        <w:rPr>
          <w:b/>
          <w:bCs/>
          <w:i/>
          <w:iCs/>
        </w:rPr>
        <w:t xml:space="preserve"> на обществените нагласи </w:t>
      </w:r>
      <w:r w:rsidR="0026381A">
        <w:rPr>
          <w:b/>
          <w:bCs/>
          <w:i/>
          <w:iCs/>
        </w:rPr>
        <w:t>по повод</w:t>
      </w:r>
      <w:r w:rsidR="00724BA8" w:rsidRPr="00724BA8">
        <w:rPr>
          <w:b/>
          <w:bCs/>
          <w:i/>
          <w:iCs/>
        </w:rPr>
        <w:t xml:space="preserve"> присъединяването на </w:t>
      </w:r>
      <w:r w:rsidR="00724BA8">
        <w:rPr>
          <w:b/>
          <w:bCs/>
          <w:i/>
          <w:iCs/>
        </w:rPr>
        <w:t xml:space="preserve">България </w:t>
      </w:r>
      <w:r w:rsidR="00724BA8" w:rsidRPr="00724BA8">
        <w:rPr>
          <w:b/>
          <w:bCs/>
          <w:i/>
          <w:iCs/>
        </w:rPr>
        <w:t xml:space="preserve">към еврозоната. То е реализирано от социологическа агенция Алфа Рисърч в периода </w:t>
      </w:r>
      <w:r w:rsidR="00627924">
        <w:rPr>
          <w:b/>
          <w:bCs/>
          <w:i/>
          <w:iCs/>
        </w:rPr>
        <w:t>1</w:t>
      </w:r>
      <w:r>
        <w:rPr>
          <w:b/>
          <w:bCs/>
          <w:i/>
          <w:iCs/>
        </w:rPr>
        <w:t>4</w:t>
      </w:r>
      <w:r w:rsidR="00E36344">
        <w:rPr>
          <w:b/>
          <w:bCs/>
          <w:i/>
          <w:iCs/>
          <w:lang w:val="en-US"/>
        </w:rPr>
        <w:t xml:space="preserve"> </w:t>
      </w:r>
      <w:r w:rsidR="00E36344">
        <w:rPr>
          <w:b/>
          <w:bCs/>
          <w:i/>
          <w:iCs/>
        </w:rPr>
        <w:t xml:space="preserve">февруари </w:t>
      </w:r>
      <w:r w:rsidR="00C00FF1">
        <w:rPr>
          <w:b/>
          <w:bCs/>
          <w:i/>
          <w:iCs/>
        </w:rPr>
        <w:t>–</w:t>
      </w:r>
      <w:r w:rsidR="00E3634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4</w:t>
      </w:r>
      <w:r w:rsidR="00724BA8" w:rsidRPr="00724BA8">
        <w:rPr>
          <w:b/>
          <w:bCs/>
          <w:i/>
          <w:iCs/>
        </w:rPr>
        <w:t xml:space="preserve"> </w:t>
      </w:r>
      <w:r w:rsidR="00E36344">
        <w:rPr>
          <w:b/>
          <w:bCs/>
          <w:i/>
          <w:iCs/>
        </w:rPr>
        <w:t>март</w:t>
      </w:r>
      <w:r w:rsidR="00724BA8" w:rsidRPr="00724BA8">
        <w:rPr>
          <w:b/>
          <w:bCs/>
          <w:i/>
          <w:iCs/>
        </w:rPr>
        <w:t xml:space="preserve"> 202</w:t>
      </w:r>
      <w:r w:rsidR="00627924">
        <w:rPr>
          <w:b/>
          <w:bCs/>
          <w:i/>
          <w:iCs/>
        </w:rPr>
        <w:t>6</w:t>
      </w:r>
      <w:r w:rsidR="00724BA8" w:rsidRPr="00724BA8">
        <w:rPr>
          <w:b/>
          <w:bCs/>
          <w:i/>
          <w:iCs/>
        </w:rPr>
        <w:t xml:space="preserve">г. </w:t>
      </w:r>
      <w:r w:rsidR="00724BA8">
        <w:rPr>
          <w:b/>
          <w:bCs/>
          <w:i/>
          <w:iCs/>
        </w:rPr>
        <w:t>сред извадка от 1200 граждани над 16 годишна възраст и 500 представители на управленския състав на фирмите</w:t>
      </w:r>
      <w:r w:rsidR="0026381A">
        <w:rPr>
          <w:b/>
          <w:bCs/>
          <w:i/>
          <w:iCs/>
        </w:rPr>
        <w:t xml:space="preserve"> посредством пряко стандартизирано интервю с таблети</w:t>
      </w:r>
      <w:r w:rsidR="00724BA8">
        <w:rPr>
          <w:b/>
          <w:bCs/>
          <w:i/>
          <w:iCs/>
        </w:rPr>
        <w:t>. За ши</w:t>
      </w:r>
      <w:r w:rsidR="00724BA8" w:rsidRPr="00724BA8">
        <w:rPr>
          <w:b/>
          <w:bCs/>
          <w:i/>
          <w:iCs/>
        </w:rPr>
        <w:t>рока</w:t>
      </w:r>
      <w:r w:rsidR="00724BA8">
        <w:rPr>
          <w:b/>
          <w:bCs/>
          <w:i/>
          <w:iCs/>
        </w:rPr>
        <w:t>та</w:t>
      </w:r>
      <w:r w:rsidR="00724BA8" w:rsidRPr="00724BA8">
        <w:rPr>
          <w:b/>
          <w:bCs/>
          <w:i/>
          <w:iCs/>
        </w:rPr>
        <w:t xml:space="preserve"> общественост </w:t>
      </w:r>
      <w:r w:rsidR="00724BA8">
        <w:rPr>
          <w:b/>
          <w:bCs/>
          <w:i/>
          <w:iCs/>
        </w:rPr>
        <w:t>е използвана</w:t>
      </w:r>
      <w:r w:rsidR="00724BA8" w:rsidRPr="00724BA8">
        <w:rPr>
          <w:b/>
          <w:bCs/>
          <w:i/>
          <w:iCs/>
        </w:rPr>
        <w:t xml:space="preserve"> стратифицирана двустепенна извадка</w:t>
      </w:r>
      <w:r w:rsidR="00724BA8">
        <w:rPr>
          <w:b/>
          <w:bCs/>
          <w:i/>
          <w:iCs/>
        </w:rPr>
        <w:t xml:space="preserve"> с подбор на респондентите въз основа на признаците пол, възраст образование съобразно данните на НСИ от Преброяване 2021. За бизнеса е приложена </w:t>
      </w:r>
      <w:r w:rsidR="00724BA8" w:rsidRPr="00724BA8">
        <w:rPr>
          <w:b/>
          <w:bCs/>
          <w:i/>
          <w:iCs/>
        </w:rPr>
        <w:t>стратифицирана типологична извадка</w:t>
      </w:r>
      <w:r w:rsidR="00724BA8">
        <w:rPr>
          <w:b/>
          <w:bCs/>
          <w:i/>
          <w:iCs/>
        </w:rPr>
        <w:t xml:space="preserve">. </w:t>
      </w:r>
      <w:r w:rsidR="00724BA8" w:rsidRPr="00724BA8">
        <w:rPr>
          <w:b/>
          <w:bCs/>
          <w:i/>
          <w:iCs/>
        </w:rPr>
        <w:t>Възложител е Министерство</w:t>
      </w:r>
      <w:r w:rsidR="000F59AC">
        <w:rPr>
          <w:b/>
          <w:bCs/>
          <w:i/>
          <w:iCs/>
        </w:rPr>
        <w:t>то</w:t>
      </w:r>
      <w:r w:rsidR="00724BA8" w:rsidRPr="00724BA8">
        <w:rPr>
          <w:b/>
          <w:bCs/>
          <w:i/>
          <w:iCs/>
        </w:rPr>
        <w:t xml:space="preserve"> на финансите.</w:t>
      </w:r>
    </w:p>
    <w:p w14:paraId="5D850F6A" w14:textId="77777777" w:rsidR="00E559F0" w:rsidRP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ind w:hanging="357"/>
        <w:contextualSpacing w:val="0"/>
        <w:jc w:val="both"/>
      </w:pPr>
      <w:r w:rsidRPr="00E559F0">
        <w:t xml:space="preserve">Второ поредно проучване след въвеждането на еврото в България от 1 януари 2026г. показва, че подкрепата сред широката общественост и бизнеса за членството в еврозоната и начина, по който протича този процес, устойчиво се затвърждава. Основната продължаваща тревога е свързана с ръста на цените. </w:t>
      </w:r>
    </w:p>
    <w:p w14:paraId="54AD31AB" w14:textId="5F56884D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ind w:hanging="357"/>
        <w:contextualSpacing w:val="0"/>
        <w:jc w:val="both"/>
      </w:pPr>
      <w:r w:rsidRPr="00E559F0">
        <w:t>Позитивните нагласи относно присъединяването на България към еврозоната категорично доминират над негативните – те са ясно изразени не само сред бизнеса, но вече и сред гражданите. 54% от тях одобряват въвеждането на новата валута, срещу 41% - не</w:t>
      </w:r>
      <w:bookmarkStart w:id="0" w:name="_GoBack"/>
      <w:bookmarkEnd w:id="0"/>
      <w:r w:rsidRPr="00E559F0">
        <w:t>одобряващи. При бизнеса съотношението е 74% : 24%, като тези оценки запазват устойчивост през почти целия период на мониторинга. Част от по-категоричните противници сред гражданите и най-негативно настроените представители на малкия и среден бизнес също променят мненията си в умерено позитивна посока. Сред основните фактори за тази положителна тенденция е спокойният и плавен преход към еврото, който опровергава страховете на хората за значителни проблеми след въвеждането на новата валута и внася успокоение за техните спестявания и курса, по който ще обменят левовете си.</w:t>
      </w:r>
    </w:p>
    <w:p w14:paraId="51FC7710" w14:textId="147924BE" w:rsidR="006A3CE4" w:rsidRDefault="006A3CE4" w:rsidP="006A3CE4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3FB7905A" wp14:editId="206D444F">
            <wp:extent cx="4940635" cy="3420000"/>
            <wp:effectExtent l="19050" t="19050" r="12700" b="28575"/>
            <wp:docPr id="500470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5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2EF513B3" w14:textId="28F94216" w:rsidR="00881B7A" w:rsidRPr="00E559F0" w:rsidRDefault="00881B7A" w:rsidP="006A3CE4">
      <w:pPr>
        <w:spacing w:before="120" w:line="240" w:lineRule="auto"/>
        <w:jc w:val="center"/>
      </w:pPr>
    </w:p>
    <w:p w14:paraId="639D22E3" w14:textId="0B91CCE0" w:rsidR="006A3CE4" w:rsidRDefault="006A3CE4" w:rsidP="006A3CE4">
      <w:pPr>
        <w:spacing w:before="120" w:line="240" w:lineRule="auto"/>
        <w:jc w:val="center"/>
      </w:pPr>
      <w:r>
        <w:rPr>
          <w:noProof/>
          <w:lang w:eastAsia="bg-BG"/>
        </w:rPr>
        <w:lastRenderedPageBreak/>
        <w:drawing>
          <wp:inline distT="0" distB="0" distL="0" distR="0" wp14:anchorId="15ACF72A" wp14:editId="111652A5">
            <wp:extent cx="4940635" cy="3420000"/>
            <wp:effectExtent l="19050" t="19050" r="12700" b="28575"/>
            <wp:docPr id="11373393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5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35756FF" w14:textId="0FD46E6E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ind w:hanging="357"/>
        <w:contextualSpacing w:val="0"/>
        <w:jc w:val="both"/>
      </w:pPr>
      <w:r w:rsidRPr="00E559F0">
        <w:t>В резултат, очакваните положителни дългосрочни ефекти от въвеждането на еврото не само доминират, но и бележат ръст. При краткосрочните е налице успокояване, което също катализира положителните очаквания, особено сред бизнеса. След период на известен ръст в притесненията през декември, непосредствено преди въвеждането на еврото, през февруари 60% от мениджърския състав на бизнеса оценява дори краткосрочните ефекти като позитивни, срещу  31% - като негативни.</w:t>
      </w:r>
    </w:p>
    <w:p w14:paraId="56B99E0D" w14:textId="636E1CE9" w:rsidR="006168EE" w:rsidRPr="00E559F0" w:rsidRDefault="006168EE" w:rsidP="006168EE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7669A039" wp14:editId="60900B82">
            <wp:extent cx="4940635" cy="3420000"/>
            <wp:effectExtent l="19050" t="19050" r="12700" b="28575"/>
            <wp:docPr id="35583954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5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A03B02F" w14:textId="77777777" w:rsidR="006168EE" w:rsidRDefault="006168EE" w:rsidP="006168EE">
      <w:pPr>
        <w:spacing w:before="120" w:line="240" w:lineRule="auto"/>
        <w:jc w:val="both"/>
      </w:pPr>
    </w:p>
    <w:p w14:paraId="4B963214" w14:textId="00AB9725" w:rsidR="006168EE" w:rsidRDefault="006168EE" w:rsidP="006168EE">
      <w:pPr>
        <w:spacing w:before="120" w:line="240" w:lineRule="auto"/>
        <w:jc w:val="center"/>
      </w:pPr>
      <w:r>
        <w:rPr>
          <w:noProof/>
          <w:lang w:eastAsia="bg-BG"/>
        </w:rPr>
        <w:lastRenderedPageBreak/>
        <w:drawing>
          <wp:inline distT="0" distB="0" distL="0" distR="0" wp14:anchorId="563019D7" wp14:editId="3D78DBAB">
            <wp:extent cx="4940635" cy="3420000"/>
            <wp:effectExtent l="19050" t="19050" r="12700" b="28575"/>
            <wp:docPr id="31236460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5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8B1415E" w14:textId="12EDB5F2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ind w:hanging="357"/>
        <w:contextualSpacing w:val="0"/>
        <w:jc w:val="both"/>
      </w:pPr>
      <w:r w:rsidRPr="00E559F0">
        <w:t>Двата първи месеца от въвеждането на еврото в България дават основания за положителна оценка на цялостния процес. При гражданите мнението за напълно спокойно и гладко протичане нараства от 23% на 35% само за месец. 52% признават, че са имали притеснения, но нещата се случват по-спокойно от очакваното. 4</w:t>
      </w:r>
      <w:r w:rsidR="0011401D">
        <w:t>6</w:t>
      </w:r>
      <w:r w:rsidRPr="00E559F0">
        <w:t>% от анкетираните представители на бизнеса също дават оценки за безпроблемен преход към еврото.</w:t>
      </w:r>
    </w:p>
    <w:p w14:paraId="18F22652" w14:textId="3E668CB7" w:rsidR="00E61001" w:rsidRPr="00E559F0" w:rsidRDefault="00E61001" w:rsidP="00E61001">
      <w:pPr>
        <w:spacing w:before="120" w:line="240" w:lineRule="auto"/>
        <w:ind w:left="3"/>
        <w:jc w:val="center"/>
      </w:pPr>
      <w:r w:rsidRPr="00E61001">
        <w:rPr>
          <w:noProof/>
          <w:lang w:eastAsia="bg-BG"/>
        </w:rPr>
        <w:drawing>
          <wp:inline distT="0" distB="0" distL="0" distR="0" wp14:anchorId="7F311102" wp14:editId="4323D7DC">
            <wp:extent cx="4932000" cy="2059895"/>
            <wp:effectExtent l="19050" t="19050" r="21590" b="17145"/>
            <wp:docPr id="12219544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9544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2059895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46287851" w14:textId="1C407007" w:rsidR="004F0613" w:rsidRDefault="004F0613" w:rsidP="004F0613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6F168D03" wp14:editId="37BD0B6C">
            <wp:extent cx="4932000" cy="1682056"/>
            <wp:effectExtent l="19050" t="19050" r="21590" b="13970"/>
            <wp:docPr id="304968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6882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1682056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4E08A35E" w14:textId="77777777" w:rsidR="0090172A" w:rsidRDefault="0090172A" w:rsidP="0090172A">
      <w:pPr>
        <w:spacing w:before="120" w:line="240" w:lineRule="auto"/>
        <w:jc w:val="both"/>
      </w:pPr>
    </w:p>
    <w:p w14:paraId="5C33850D" w14:textId="72F93E1C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lastRenderedPageBreak/>
        <w:t>Практиката на употреба на еврото също свидетелства за добра организация и добро планиране на процеса, в съответствие с финансовото поведение на граждани и бизнес. За 68% от анкетираните единият месец на двойно обр</w:t>
      </w:r>
      <w:r w:rsidR="000F59AC">
        <w:t>а</w:t>
      </w:r>
      <w:r w:rsidRPr="00E559F0">
        <w:t>щение на цените е бил достатъчен, а само за 7 на сто, основно възрастни хора и с по-ниско образование – напълно недостатъчен. 69% лесно са свикнали с плащането само в евро след края на този период. Минимален брой анкетирани (4%) заявяват, че лично на тях, или на техни близки, е връщано ресто в лева след края на януари. 54% декларират, че плащат основно в брой, което е спад от 10 процентни пункта спрямо януари, когато увеличените разплащания в брой бяха продиктувани от стремежа на хората по-бързо да „изчистят“ останалите им неголеми левови наличности.</w:t>
      </w:r>
    </w:p>
    <w:p w14:paraId="51C787CC" w14:textId="77CBB3B5" w:rsidR="00CC6F13" w:rsidRPr="00E559F0" w:rsidRDefault="00212500" w:rsidP="00212500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40A40363" wp14:editId="2AB35962">
            <wp:extent cx="4940633" cy="3420000"/>
            <wp:effectExtent l="19050" t="19050" r="12700" b="28575"/>
            <wp:docPr id="178563166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3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3F843E4E" w14:textId="77777777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t>По отношение на спецификите при бизнеса, проучването регистрира, че две трети от компаниите не са изпитали никакви затруднения от въвеждането на еврото, 8% - основно от микро, семейния бизнес и селскостопанските производители твърдят, че срещат по-големи трудности. Налице е известен ръст при фирмите, които срещат „известни затруднения“ – от 16% на 25%, като това по всяка вероятност е свързано с изясняване на всички аспекти в този преход. По отношение на по-стратегическите въпроси, като например счетоводното и данъчно приключване на 2025г., 90% от фирмите заявяват, че са запознати и не очакват затруднения.</w:t>
      </w:r>
    </w:p>
    <w:p w14:paraId="3B74C9F9" w14:textId="1A965B8E" w:rsidR="00BC1D6E" w:rsidRPr="00E559F0" w:rsidRDefault="00BC1D6E" w:rsidP="00BC1D6E">
      <w:pPr>
        <w:spacing w:before="120" w:line="240" w:lineRule="auto"/>
        <w:jc w:val="center"/>
      </w:pPr>
      <w:r w:rsidRPr="00BC1D6E">
        <w:rPr>
          <w:noProof/>
          <w:lang w:eastAsia="bg-BG"/>
        </w:rPr>
        <w:drawing>
          <wp:inline distT="0" distB="0" distL="0" distR="0" wp14:anchorId="1543203E" wp14:editId="79214DA3">
            <wp:extent cx="4932000" cy="1594525"/>
            <wp:effectExtent l="19050" t="19050" r="21590" b="24765"/>
            <wp:docPr id="1914978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97825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1594525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BF01892" w14:textId="77777777" w:rsidR="00AD5244" w:rsidRDefault="00AD5244" w:rsidP="00AD5244">
      <w:pPr>
        <w:spacing w:before="120" w:line="240" w:lineRule="auto"/>
        <w:jc w:val="both"/>
      </w:pPr>
    </w:p>
    <w:p w14:paraId="388556D2" w14:textId="37D25ABF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lastRenderedPageBreak/>
        <w:t xml:space="preserve">Основната тревога, и на граждани, и на бизнес, е от поскъпването на цените. Независимо дали то е свързано с въвеждането на еврото или не, се създава фон, който увеличава притесненията за финансовата стабилност на домакинствата. 59% от гражданите са на мнение, че е налице значителен ръст на цените при стоките, които най-често купуват. 37% виждат умерено поскъпване – едни стоки повишават цените си, но при други не забелязват ръст. Едва 4% смятат, че изобщо няма ръст на цените. Средно посочваният ръст е от 25%, т.е. общото усещане е за една четвърт по-високи цени спрямо периода отпреди няколко месеца. Очакванията за по-нататъшното движение на цените също са </w:t>
      </w:r>
      <w:proofErr w:type="spellStart"/>
      <w:r w:rsidRPr="00E559F0">
        <w:t>проинфлационни</w:t>
      </w:r>
      <w:proofErr w:type="spellEnd"/>
      <w:r w:rsidRPr="00E559F0">
        <w:t xml:space="preserve"> – 45% от анкетираните граждани очакват по-нататъшен ръст, други 37% са на мнение, че увеличението вече ще забави темпа си. Тези нагласи ще определят и поведението на хората в близките месеци.</w:t>
      </w:r>
    </w:p>
    <w:p w14:paraId="7366F8FE" w14:textId="3C4ACB53" w:rsidR="00840CEB" w:rsidRDefault="00840CEB" w:rsidP="00840CEB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62972E0F" wp14:editId="4469D23D">
            <wp:extent cx="4940633" cy="3420000"/>
            <wp:effectExtent l="19050" t="19050" r="12700" b="28575"/>
            <wp:docPr id="31424351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33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57858BF2" w14:textId="77777777" w:rsidR="00E559F0" w:rsidRP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t xml:space="preserve">Важно е да се отбележи, че и сред бизнеса, който като правило е настроен по-оптимистично, отколкото широката аудитория, тези нагласи са практически същите, с разлика единствено в очакванията за темпа на увеличение – 33% от мениджърите очакват по-нататъшно сериозно увеличение, а 48% - по-плавен ръст, но не и пълно спиране. </w:t>
      </w:r>
    </w:p>
    <w:p w14:paraId="39569809" w14:textId="32CA733B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t>Тези предвиждания оказват пряко влияние и върху планираната ценова политика на компаниите. От 18% на 33% нарастват фирмите, които ще увеличат цените на своите продукти през следващите няколко месеца. От 35% на 26% намаляват тези, които няма да вдигат цени. Пазарът се следи внимателно, но ако през януари 40% от фирмите са били в изчаквателна позиция, сега този дял спада с почти 10 пункта, за сметка на фирмите, които директно планират по-високи цени „по обективни причини“. Може да се обобщи, че както до момента, така и в следващите месеци, цените ще бъдат основния</w:t>
      </w:r>
      <w:r w:rsidR="009934D6">
        <w:t>т</w:t>
      </w:r>
      <w:r w:rsidRPr="00E559F0">
        <w:t xml:space="preserve"> рисков фактор не само в отношението към еврото, но и към финансовите политики на правителствата.</w:t>
      </w:r>
    </w:p>
    <w:p w14:paraId="3C1F337F" w14:textId="231D1CC3" w:rsidR="0044634E" w:rsidRPr="00E559F0" w:rsidRDefault="0044634E" w:rsidP="0044634E">
      <w:pPr>
        <w:spacing w:before="120" w:line="240" w:lineRule="auto"/>
        <w:jc w:val="center"/>
      </w:pPr>
      <w:r>
        <w:rPr>
          <w:noProof/>
          <w:lang w:eastAsia="bg-BG"/>
        </w:rPr>
        <w:lastRenderedPageBreak/>
        <w:drawing>
          <wp:inline distT="0" distB="0" distL="0" distR="0" wp14:anchorId="03457FED" wp14:editId="610E361B">
            <wp:extent cx="4941817" cy="3420000"/>
            <wp:effectExtent l="19050" t="19050" r="11430" b="28575"/>
            <wp:docPr id="130977840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817" cy="34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7BA11A5B" w14:textId="77777777" w:rsidR="00CB7625" w:rsidRDefault="00CB7625" w:rsidP="00CB7625">
      <w:pPr>
        <w:pStyle w:val="ListParagraph"/>
        <w:spacing w:before="120" w:line="240" w:lineRule="auto"/>
        <w:ind w:left="360"/>
        <w:contextualSpacing w:val="0"/>
        <w:jc w:val="both"/>
      </w:pPr>
    </w:p>
    <w:p w14:paraId="4A1351EF" w14:textId="55A830BD" w:rsidR="00E559F0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t>Постигнатата висока степен на информираност за начина на въвеждане на еврото от есента на миналата година е сред ключовите фактори за спокойното протичане на процеса. От октомври, когато за първи път беше отчетен рязък скок в равнището на информираност, до февруари тя продължава да расте и вече обхваща три четвърти от населението и близо 90% от бизнеса. Успоредно, в рамките на същите тези стойности, се повиши и знанието за конкретни аспекти от въвеждането н</w:t>
      </w:r>
      <w:r w:rsidR="000F59AC">
        <w:t>а еврото – период на двойно обра</w:t>
      </w:r>
      <w:r w:rsidRPr="00E559F0">
        <w:t>щение на цените, период, в който левовете могат да се обменят безплатно в банките и пр. Запознатостта с тези практически процеси съществено допринесе за доброто планиране на финансовото поведение от страна на самите граждани.</w:t>
      </w:r>
    </w:p>
    <w:p w14:paraId="72907CFC" w14:textId="53879093" w:rsidR="0044634E" w:rsidRPr="00E559F0" w:rsidRDefault="00C04193" w:rsidP="00C04193">
      <w:pPr>
        <w:spacing w:before="120" w:line="240" w:lineRule="auto"/>
        <w:jc w:val="center"/>
      </w:pPr>
      <w:r>
        <w:rPr>
          <w:noProof/>
          <w:lang w:eastAsia="bg-BG"/>
        </w:rPr>
        <w:drawing>
          <wp:inline distT="0" distB="0" distL="0" distR="0" wp14:anchorId="12C23F8E" wp14:editId="7B7DFB74">
            <wp:extent cx="4932000" cy="1783172"/>
            <wp:effectExtent l="19050" t="19050" r="21590" b="26670"/>
            <wp:docPr id="1822494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49493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1783172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35B7A568" w14:textId="1D1051EB" w:rsidR="00C04193" w:rsidRDefault="00C04193" w:rsidP="00C04193">
      <w:pPr>
        <w:spacing w:before="120" w:line="240" w:lineRule="auto"/>
        <w:jc w:val="center"/>
      </w:pPr>
      <w:r w:rsidRPr="00C04193">
        <w:rPr>
          <w:noProof/>
          <w:lang w:eastAsia="bg-BG"/>
        </w:rPr>
        <w:lastRenderedPageBreak/>
        <w:drawing>
          <wp:inline distT="0" distB="0" distL="0" distR="0" wp14:anchorId="1623779F" wp14:editId="3BC7D538">
            <wp:extent cx="4932000" cy="1923429"/>
            <wp:effectExtent l="19050" t="19050" r="21590" b="19685"/>
            <wp:docPr id="1498390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39030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1923429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7B7F7279" w14:textId="77777777" w:rsidR="00122994" w:rsidRDefault="00122994" w:rsidP="00122994">
      <w:pPr>
        <w:pStyle w:val="ListParagraph"/>
        <w:spacing w:before="120" w:line="240" w:lineRule="auto"/>
        <w:ind w:left="360"/>
        <w:contextualSpacing w:val="0"/>
        <w:jc w:val="both"/>
      </w:pPr>
    </w:p>
    <w:p w14:paraId="4C27E9B5" w14:textId="49E54471" w:rsidR="00E559F0" w:rsidRPr="00F363F3" w:rsidRDefault="00E559F0" w:rsidP="00E559F0">
      <w:pPr>
        <w:pStyle w:val="ListParagraph"/>
        <w:numPr>
          <w:ilvl w:val="0"/>
          <w:numId w:val="9"/>
        </w:numPr>
        <w:spacing w:before="120" w:line="240" w:lineRule="auto"/>
        <w:contextualSpacing w:val="0"/>
        <w:jc w:val="both"/>
      </w:pPr>
      <w:r w:rsidRPr="00E559F0">
        <w:t>Всеки втори анкетиран твърди, че знае къде трябва да подаде сигнал за забелязани нередности. Над 70% обаче не са подавали сигнали, тъй като „не са забелязали съществени нередности“. Декларативното намерение за бъдещо сигнализиране е високо, което косвено свидетелства и за доверието към институциите, които регулират този процес. На база на досегашната активност обаче и на позитивните оценки за начина на протичане на процеса, може да се очаква, че сигналите ще бъдат по-скоро малко и спорадични. По-важно ще бъде да продължи превантивната дейност на институциите и ограничаването на резки необосновани скокове в цените.</w:t>
      </w:r>
    </w:p>
    <w:sectPr w:rsidR="00E559F0" w:rsidRPr="00F363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A46FD"/>
    <w:multiLevelType w:val="hybridMultilevel"/>
    <w:tmpl w:val="3E4AF390"/>
    <w:lvl w:ilvl="0" w:tplc="72FCC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AA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2E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8E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A1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89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0E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9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AE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F76AFD"/>
    <w:multiLevelType w:val="hybridMultilevel"/>
    <w:tmpl w:val="9A286146"/>
    <w:lvl w:ilvl="0" w:tplc="1AF0B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4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F25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64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7CF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C3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14A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0A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48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352785"/>
    <w:multiLevelType w:val="hybridMultilevel"/>
    <w:tmpl w:val="B816AACC"/>
    <w:lvl w:ilvl="0" w:tplc="C2D26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2467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63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0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61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2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CB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EB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EF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250AB8"/>
    <w:multiLevelType w:val="hybridMultilevel"/>
    <w:tmpl w:val="C3DA0E6E"/>
    <w:lvl w:ilvl="0" w:tplc="D24A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01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45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24A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C6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E8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A0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4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D1367E"/>
    <w:multiLevelType w:val="hybridMultilevel"/>
    <w:tmpl w:val="56568A54"/>
    <w:lvl w:ilvl="0" w:tplc="5A222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6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F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CA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AC3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8C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68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F09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FF45CB"/>
    <w:multiLevelType w:val="hybridMultilevel"/>
    <w:tmpl w:val="B65468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365B2E"/>
    <w:multiLevelType w:val="hybridMultilevel"/>
    <w:tmpl w:val="636A703C"/>
    <w:lvl w:ilvl="0" w:tplc="220C7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E8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38B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A3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2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06D4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8D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E4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6D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7AA68E1"/>
    <w:multiLevelType w:val="hybridMultilevel"/>
    <w:tmpl w:val="6C1A78B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FA1971"/>
    <w:multiLevelType w:val="hybridMultilevel"/>
    <w:tmpl w:val="726876F6"/>
    <w:lvl w:ilvl="0" w:tplc="251C0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2B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E0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24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82B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69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84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98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B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2A745B9"/>
    <w:multiLevelType w:val="hybridMultilevel"/>
    <w:tmpl w:val="3D8A316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212F75"/>
    <w:multiLevelType w:val="hybridMultilevel"/>
    <w:tmpl w:val="B4746E3C"/>
    <w:lvl w:ilvl="0" w:tplc="64265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EC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E0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C9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43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C2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A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E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C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A8"/>
    <w:rsid w:val="00023F83"/>
    <w:rsid w:val="00027BA5"/>
    <w:rsid w:val="00043302"/>
    <w:rsid w:val="00067B3C"/>
    <w:rsid w:val="000700ED"/>
    <w:rsid w:val="00073AD9"/>
    <w:rsid w:val="000846D8"/>
    <w:rsid w:val="000B0AB6"/>
    <w:rsid w:val="000D7605"/>
    <w:rsid w:val="000E645F"/>
    <w:rsid w:val="000F59AC"/>
    <w:rsid w:val="0011401D"/>
    <w:rsid w:val="00122994"/>
    <w:rsid w:val="00126DB5"/>
    <w:rsid w:val="001A2722"/>
    <w:rsid w:val="001D08E9"/>
    <w:rsid w:val="001D35A4"/>
    <w:rsid w:val="00204699"/>
    <w:rsid w:val="00210856"/>
    <w:rsid w:val="00212500"/>
    <w:rsid w:val="0026381A"/>
    <w:rsid w:val="002807EF"/>
    <w:rsid w:val="002C6408"/>
    <w:rsid w:val="002D13C5"/>
    <w:rsid w:val="00337354"/>
    <w:rsid w:val="00345D91"/>
    <w:rsid w:val="003511C6"/>
    <w:rsid w:val="003579F3"/>
    <w:rsid w:val="00390CE6"/>
    <w:rsid w:val="00441D1F"/>
    <w:rsid w:val="0044634E"/>
    <w:rsid w:val="0049438C"/>
    <w:rsid w:val="004B41A9"/>
    <w:rsid w:val="004B522F"/>
    <w:rsid w:val="004E3A47"/>
    <w:rsid w:val="004F0613"/>
    <w:rsid w:val="00504A9E"/>
    <w:rsid w:val="00516229"/>
    <w:rsid w:val="00533254"/>
    <w:rsid w:val="0054022E"/>
    <w:rsid w:val="00540D24"/>
    <w:rsid w:val="00560DC7"/>
    <w:rsid w:val="005634B6"/>
    <w:rsid w:val="005842D6"/>
    <w:rsid w:val="005D2644"/>
    <w:rsid w:val="0060216C"/>
    <w:rsid w:val="0061484E"/>
    <w:rsid w:val="006168EE"/>
    <w:rsid w:val="006262C6"/>
    <w:rsid w:val="00627924"/>
    <w:rsid w:val="00655CB0"/>
    <w:rsid w:val="0067447E"/>
    <w:rsid w:val="006A3CE4"/>
    <w:rsid w:val="006C23EF"/>
    <w:rsid w:val="006C262E"/>
    <w:rsid w:val="00700882"/>
    <w:rsid w:val="00724BA8"/>
    <w:rsid w:val="007C1F24"/>
    <w:rsid w:val="007C2508"/>
    <w:rsid w:val="007C49FC"/>
    <w:rsid w:val="007E4E2E"/>
    <w:rsid w:val="0081447E"/>
    <w:rsid w:val="008149A4"/>
    <w:rsid w:val="00830676"/>
    <w:rsid w:val="00840CEB"/>
    <w:rsid w:val="008456B3"/>
    <w:rsid w:val="008600FA"/>
    <w:rsid w:val="0087000A"/>
    <w:rsid w:val="00881B7A"/>
    <w:rsid w:val="00887743"/>
    <w:rsid w:val="00890960"/>
    <w:rsid w:val="00890DBA"/>
    <w:rsid w:val="00893E2E"/>
    <w:rsid w:val="008B00DC"/>
    <w:rsid w:val="008D5A94"/>
    <w:rsid w:val="008D7CDB"/>
    <w:rsid w:val="008E53FD"/>
    <w:rsid w:val="008E6009"/>
    <w:rsid w:val="008F0F6A"/>
    <w:rsid w:val="008F24F3"/>
    <w:rsid w:val="008F3536"/>
    <w:rsid w:val="008F517D"/>
    <w:rsid w:val="0090172A"/>
    <w:rsid w:val="00927163"/>
    <w:rsid w:val="009448A7"/>
    <w:rsid w:val="00944F71"/>
    <w:rsid w:val="009706D6"/>
    <w:rsid w:val="009759D7"/>
    <w:rsid w:val="00984A50"/>
    <w:rsid w:val="00985B8E"/>
    <w:rsid w:val="009934D6"/>
    <w:rsid w:val="009A09D9"/>
    <w:rsid w:val="009A1C98"/>
    <w:rsid w:val="009B5FD3"/>
    <w:rsid w:val="00A02F87"/>
    <w:rsid w:val="00A16E89"/>
    <w:rsid w:val="00A731ED"/>
    <w:rsid w:val="00A8196A"/>
    <w:rsid w:val="00AA50B8"/>
    <w:rsid w:val="00AD1BB5"/>
    <w:rsid w:val="00AD5244"/>
    <w:rsid w:val="00B01013"/>
    <w:rsid w:val="00B1356F"/>
    <w:rsid w:val="00B1709E"/>
    <w:rsid w:val="00B877E9"/>
    <w:rsid w:val="00BA68D5"/>
    <w:rsid w:val="00BC1D6E"/>
    <w:rsid w:val="00C00FF1"/>
    <w:rsid w:val="00C04193"/>
    <w:rsid w:val="00C056B5"/>
    <w:rsid w:val="00C246DB"/>
    <w:rsid w:val="00C276FB"/>
    <w:rsid w:val="00C52199"/>
    <w:rsid w:val="00C5573A"/>
    <w:rsid w:val="00C70721"/>
    <w:rsid w:val="00C76ED3"/>
    <w:rsid w:val="00C81932"/>
    <w:rsid w:val="00C935DA"/>
    <w:rsid w:val="00CB7625"/>
    <w:rsid w:val="00CC6F13"/>
    <w:rsid w:val="00CC763C"/>
    <w:rsid w:val="00CD63C4"/>
    <w:rsid w:val="00D01866"/>
    <w:rsid w:val="00D04C88"/>
    <w:rsid w:val="00D24D8B"/>
    <w:rsid w:val="00D40363"/>
    <w:rsid w:val="00D531DE"/>
    <w:rsid w:val="00D66FEB"/>
    <w:rsid w:val="00D73419"/>
    <w:rsid w:val="00D8699B"/>
    <w:rsid w:val="00DB3E97"/>
    <w:rsid w:val="00DC1541"/>
    <w:rsid w:val="00DC72EA"/>
    <w:rsid w:val="00DE246B"/>
    <w:rsid w:val="00E36344"/>
    <w:rsid w:val="00E559F0"/>
    <w:rsid w:val="00E61001"/>
    <w:rsid w:val="00E73867"/>
    <w:rsid w:val="00EB2D1F"/>
    <w:rsid w:val="00EC1D96"/>
    <w:rsid w:val="00EE1946"/>
    <w:rsid w:val="00EE4A5E"/>
    <w:rsid w:val="00EF6C99"/>
    <w:rsid w:val="00F1507E"/>
    <w:rsid w:val="00F363F3"/>
    <w:rsid w:val="00F4182E"/>
    <w:rsid w:val="00F61A92"/>
    <w:rsid w:val="00F74F59"/>
    <w:rsid w:val="00FA6046"/>
    <w:rsid w:val="00FA6E7F"/>
    <w:rsid w:val="00FC2BE1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A181E"/>
  <w15:chartTrackingRefBased/>
  <w15:docId w15:val="{AAABD913-5617-4F81-8168-6EAA982B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4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B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B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B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B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B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B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B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B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B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4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4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4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4B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4B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4B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B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4BA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F03E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03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40C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0C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0C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C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C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1114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Боряна Димитрова</dc:creator>
  <cp:keywords/>
  <dc:description/>
  <cp:lastModifiedBy>Мая Миланова</cp:lastModifiedBy>
  <cp:revision>4</cp:revision>
  <cp:lastPrinted>2025-12-28T12:26:00Z</cp:lastPrinted>
  <dcterms:created xsi:type="dcterms:W3CDTF">2026-03-20T14:47:00Z</dcterms:created>
  <dcterms:modified xsi:type="dcterms:W3CDTF">2026-03-23T09:33:00Z</dcterms:modified>
</cp:coreProperties>
</file>