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6B876" w14:textId="63075D26" w:rsidR="009759D7" w:rsidRDefault="00724BA8" w:rsidP="005842D6">
      <w:pPr>
        <w:jc w:val="both"/>
        <w:rPr>
          <w:b/>
          <w:bCs/>
        </w:rPr>
      </w:pPr>
      <w:r w:rsidRPr="00724BA8">
        <w:rPr>
          <w:b/>
          <w:bCs/>
        </w:rPr>
        <w:t xml:space="preserve">НАГЛАСИТЕ НА </w:t>
      </w:r>
      <w:r>
        <w:rPr>
          <w:b/>
          <w:bCs/>
        </w:rPr>
        <w:t>ГРАЖДАНИ И Б</w:t>
      </w:r>
      <w:r w:rsidR="00627924">
        <w:rPr>
          <w:b/>
          <w:bCs/>
        </w:rPr>
        <w:t>И</w:t>
      </w:r>
      <w:r>
        <w:rPr>
          <w:b/>
          <w:bCs/>
        </w:rPr>
        <w:t>З</w:t>
      </w:r>
      <w:r w:rsidR="002E658D">
        <w:rPr>
          <w:b/>
          <w:bCs/>
        </w:rPr>
        <w:t>Н</w:t>
      </w:r>
      <w:r>
        <w:rPr>
          <w:b/>
          <w:bCs/>
        </w:rPr>
        <w:t xml:space="preserve">ЕС ПО </w:t>
      </w:r>
      <w:r w:rsidRPr="00724BA8">
        <w:rPr>
          <w:b/>
          <w:bCs/>
        </w:rPr>
        <w:t xml:space="preserve">ПОВОД ПРИСЪЕДИНЯВАНЕТО </w:t>
      </w:r>
    </w:p>
    <w:p w14:paraId="5D724C7E" w14:textId="47F0FB55" w:rsidR="00441D1F" w:rsidRDefault="00724BA8" w:rsidP="005842D6">
      <w:pPr>
        <w:jc w:val="both"/>
        <w:rPr>
          <w:b/>
          <w:bCs/>
        </w:rPr>
      </w:pPr>
      <w:r w:rsidRPr="00724BA8">
        <w:rPr>
          <w:b/>
          <w:bCs/>
        </w:rPr>
        <w:t>НА БЪЛГАРИЯ КЪМ ЕВРОЗОНАТА</w:t>
      </w:r>
      <w:bookmarkStart w:id="0" w:name="_GoBack"/>
      <w:bookmarkEnd w:id="0"/>
    </w:p>
    <w:p w14:paraId="7DD8C4E2" w14:textId="0EA19341" w:rsidR="00724BA8" w:rsidRDefault="00724BA8" w:rsidP="005842D6">
      <w:pPr>
        <w:jc w:val="both"/>
        <w:rPr>
          <w:b/>
          <w:bCs/>
          <w:i/>
          <w:iCs/>
        </w:rPr>
      </w:pPr>
      <w:r w:rsidRPr="00724BA8">
        <w:rPr>
          <w:b/>
          <w:bCs/>
          <w:i/>
          <w:iCs/>
        </w:rPr>
        <w:t>Основни резултати от националн</w:t>
      </w:r>
      <w:r>
        <w:rPr>
          <w:b/>
          <w:bCs/>
          <w:i/>
          <w:iCs/>
        </w:rPr>
        <w:t>о</w:t>
      </w:r>
      <w:r w:rsidRPr="00724BA8">
        <w:rPr>
          <w:b/>
          <w:bCs/>
          <w:i/>
          <w:iCs/>
        </w:rPr>
        <w:t xml:space="preserve"> представителн</w:t>
      </w:r>
      <w:r>
        <w:rPr>
          <w:b/>
          <w:bCs/>
          <w:i/>
          <w:iCs/>
        </w:rPr>
        <w:t>о</w:t>
      </w:r>
      <w:r w:rsidRPr="00724BA8">
        <w:rPr>
          <w:b/>
          <w:bCs/>
          <w:i/>
          <w:iCs/>
        </w:rPr>
        <w:t xml:space="preserve"> проучван</w:t>
      </w:r>
      <w:r>
        <w:rPr>
          <w:b/>
          <w:bCs/>
          <w:i/>
          <w:iCs/>
        </w:rPr>
        <w:t>е</w:t>
      </w:r>
      <w:r w:rsidRPr="00724BA8">
        <w:rPr>
          <w:b/>
          <w:bCs/>
          <w:i/>
          <w:iCs/>
        </w:rPr>
        <w:t xml:space="preserve"> </w:t>
      </w:r>
    </w:p>
    <w:p w14:paraId="07A53BC6" w14:textId="25897414" w:rsidR="00724BA8" w:rsidRDefault="00724BA8" w:rsidP="005842D6">
      <w:pPr>
        <w:tabs>
          <w:tab w:val="num" w:pos="720"/>
        </w:tabs>
        <w:jc w:val="both"/>
        <w:rPr>
          <w:b/>
          <w:bCs/>
          <w:i/>
          <w:iCs/>
        </w:rPr>
      </w:pPr>
      <w:r w:rsidRPr="00724BA8">
        <w:rPr>
          <w:b/>
          <w:bCs/>
          <w:i/>
          <w:iCs/>
        </w:rPr>
        <w:t xml:space="preserve">Националното представително проучване е </w:t>
      </w:r>
      <w:r w:rsidR="00627924">
        <w:rPr>
          <w:b/>
          <w:bCs/>
          <w:i/>
          <w:iCs/>
        </w:rPr>
        <w:t>шесто</w:t>
      </w:r>
      <w:r w:rsidRPr="00724BA8">
        <w:rPr>
          <w:b/>
          <w:bCs/>
          <w:i/>
          <w:iCs/>
        </w:rPr>
        <w:t xml:space="preserve"> поред в рамките на мониторинг</w:t>
      </w:r>
      <w:r>
        <w:rPr>
          <w:b/>
          <w:bCs/>
          <w:i/>
          <w:iCs/>
        </w:rPr>
        <w:t>а</w:t>
      </w:r>
      <w:r w:rsidRPr="00724BA8">
        <w:rPr>
          <w:b/>
          <w:bCs/>
          <w:i/>
          <w:iCs/>
        </w:rPr>
        <w:t xml:space="preserve"> на обществените нагласи </w:t>
      </w:r>
      <w:r w:rsidR="0026381A">
        <w:rPr>
          <w:b/>
          <w:bCs/>
          <w:i/>
          <w:iCs/>
        </w:rPr>
        <w:t>по повод</w:t>
      </w:r>
      <w:r w:rsidRPr="00724BA8">
        <w:rPr>
          <w:b/>
          <w:bCs/>
          <w:i/>
          <w:iCs/>
        </w:rPr>
        <w:t xml:space="preserve"> присъединяването на </w:t>
      </w:r>
      <w:r>
        <w:rPr>
          <w:b/>
          <w:bCs/>
          <w:i/>
          <w:iCs/>
        </w:rPr>
        <w:t xml:space="preserve">България </w:t>
      </w:r>
      <w:r w:rsidRPr="00724BA8">
        <w:rPr>
          <w:b/>
          <w:bCs/>
          <w:i/>
          <w:iCs/>
        </w:rPr>
        <w:t xml:space="preserve">към еврозоната. То е реализирано от социологическа агенция Алфа Рисърч в периода </w:t>
      </w:r>
      <w:r w:rsidR="00627924">
        <w:rPr>
          <w:b/>
          <w:bCs/>
          <w:i/>
          <w:iCs/>
        </w:rPr>
        <w:t>12-22</w:t>
      </w:r>
      <w:r w:rsidRPr="00724BA8">
        <w:rPr>
          <w:b/>
          <w:bCs/>
          <w:i/>
          <w:iCs/>
        </w:rPr>
        <w:t xml:space="preserve"> </w:t>
      </w:r>
      <w:r w:rsidR="00627924">
        <w:rPr>
          <w:b/>
          <w:bCs/>
          <w:i/>
          <w:iCs/>
        </w:rPr>
        <w:t>януари</w:t>
      </w:r>
      <w:r w:rsidRPr="00724BA8">
        <w:rPr>
          <w:b/>
          <w:bCs/>
          <w:i/>
          <w:iCs/>
        </w:rPr>
        <w:t xml:space="preserve"> 202</w:t>
      </w:r>
      <w:r w:rsidR="00627924">
        <w:rPr>
          <w:b/>
          <w:bCs/>
          <w:i/>
          <w:iCs/>
        </w:rPr>
        <w:t>6</w:t>
      </w:r>
      <w:r w:rsidRPr="00724BA8">
        <w:rPr>
          <w:b/>
          <w:bCs/>
          <w:i/>
          <w:iCs/>
        </w:rPr>
        <w:t xml:space="preserve">г. </w:t>
      </w:r>
      <w:r>
        <w:rPr>
          <w:b/>
          <w:bCs/>
          <w:i/>
          <w:iCs/>
        </w:rPr>
        <w:t>сред извадка от 1200 граждани над 16 годишна възраст и 500 представители на управленския състав на фирмите</w:t>
      </w:r>
      <w:r w:rsidR="0026381A">
        <w:rPr>
          <w:b/>
          <w:bCs/>
          <w:i/>
          <w:iCs/>
        </w:rPr>
        <w:t xml:space="preserve"> посредством пряко стандартизирано интервю с таблети</w:t>
      </w:r>
      <w:r>
        <w:rPr>
          <w:b/>
          <w:bCs/>
          <w:i/>
          <w:iCs/>
        </w:rPr>
        <w:t>. За ши</w:t>
      </w:r>
      <w:r w:rsidRPr="00724BA8">
        <w:rPr>
          <w:b/>
          <w:bCs/>
          <w:i/>
          <w:iCs/>
        </w:rPr>
        <w:t>рока</w:t>
      </w:r>
      <w:r>
        <w:rPr>
          <w:b/>
          <w:bCs/>
          <w:i/>
          <w:iCs/>
        </w:rPr>
        <w:t>та</w:t>
      </w:r>
      <w:r w:rsidRPr="00724BA8">
        <w:rPr>
          <w:b/>
          <w:bCs/>
          <w:i/>
          <w:iCs/>
        </w:rPr>
        <w:t xml:space="preserve"> общественост </w:t>
      </w:r>
      <w:r>
        <w:rPr>
          <w:b/>
          <w:bCs/>
          <w:i/>
          <w:iCs/>
        </w:rPr>
        <w:t>е използвана</w:t>
      </w:r>
      <w:r w:rsidRPr="00724BA8">
        <w:rPr>
          <w:b/>
          <w:bCs/>
          <w:i/>
          <w:iCs/>
        </w:rPr>
        <w:t xml:space="preserve"> стратифицирана двустепенна извадка</w:t>
      </w:r>
      <w:r>
        <w:rPr>
          <w:b/>
          <w:bCs/>
          <w:i/>
          <w:iCs/>
        </w:rPr>
        <w:t xml:space="preserve"> с подбор на респондентите въз основа на признаците пол, възраст образование съобразно данните на НСИ от Преброяване 2021. За бизнеса е приложена </w:t>
      </w:r>
      <w:r w:rsidRPr="00724BA8">
        <w:rPr>
          <w:b/>
          <w:bCs/>
          <w:i/>
          <w:iCs/>
        </w:rPr>
        <w:t>стратифицирана типологична извадка</w:t>
      </w:r>
      <w:r>
        <w:rPr>
          <w:b/>
          <w:bCs/>
          <w:i/>
          <w:iCs/>
        </w:rPr>
        <w:t xml:space="preserve">. </w:t>
      </w:r>
      <w:r w:rsidRPr="00724BA8">
        <w:rPr>
          <w:b/>
          <w:bCs/>
          <w:i/>
          <w:iCs/>
        </w:rPr>
        <w:t>Възложител е Министерство на финансите.</w:t>
      </w:r>
    </w:p>
    <w:p w14:paraId="268F1D90" w14:textId="77777777" w:rsidR="00F363F3" w:rsidRDefault="00F363F3" w:rsidP="005842D6">
      <w:pPr>
        <w:jc w:val="both"/>
      </w:pPr>
    </w:p>
    <w:p w14:paraId="26C7F812" w14:textId="6D9C7706" w:rsidR="00F363F3" w:rsidRPr="00F363F3" w:rsidRDefault="00F363F3" w:rsidP="005842D6">
      <w:pPr>
        <w:jc w:val="both"/>
      </w:pPr>
      <w:r w:rsidRPr="00F363F3">
        <w:t>Шестото проучване, проведено непосредствено след въвеждането на еврото в България, очертава следните тенденции в нагласите на широката общественост и бизнеса:</w:t>
      </w:r>
    </w:p>
    <w:p w14:paraId="60848CA0"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Спокоен преход към новата валута, който не само се оценява позитивно и опровергава съмненията на скептично настроените граждани, но стабилизира подкрепата за членството на България в еврозоната. Общо 7 от 10 българи са на мнение, че преходът преминава напълно (23%) или по-скоро (49%) гладко. Оптимизмът сред бизнеса е още по-категоричен. 74% посочват, че до момента управляваната от тях фирма не среща никакви затруднения във връзка с въвеждането на еврото, а 82% споделят впечатления за цялостно плавно протичане на процеса в страната.</w:t>
      </w:r>
    </w:p>
    <w:p w14:paraId="5813B7E8"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По-малко са песимистичните оценки, които се формират под влиянието на ценностни и идеологически фактори, а не от преки наблюдения за проблеми, грешки или опити за измами. Хората, които имат принципно негативно отношение към въвеждането на еврото са и тези, според които процесът не протича гладко. Друг фактор е медийното съдържание, което достига до гражданите. Едва 10% от анкетираните имат преки наблюдения за измами и злоупотреби, а 64% са чували за такива единствено по медиите. Малко по-негативни оценки сред бизнеса изразяват фирмите „на първа линия“ - в сферата на директната търговия.</w:t>
      </w:r>
    </w:p>
    <w:p w14:paraId="41C19A3E" w14:textId="07831AB3" w:rsidR="00504A9E" w:rsidRDefault="00F363F3" w:rsidP="005842D6">
      <w:pPr>
        <w:pStyle w:val="ListParagraph"/>
        <w:numPr>
          <w:ilvl w:val="0"/>
          <w:numId w:val="9"/>
        </w:numPr>
        <w:spacing w:before="120" w:line="240" w:lineRule="auto"/>
        <w:ind w:hanging="357"/>
        <w:contextualSpacing w:val="0"/>
        <w:jc w:val="both"/>
      </w:pPr>
      <w:r w:rsidRPr="00F363F3">
        <w:t xml:space="preserve">Гражданите (57%) и бизнесът (46%) виждат като най-сериозно първоначално затруднение липсата на достатъчно евро за ресто в магазините. Немалка част от гражданите признават, че въпреки изискването за връщане на ресто в евро, продължават да получават ресто основно в левове – 31%. Посочват се и други предизвикателства като: опашки пред банки (37%) и/или пощенски клонове (23); бавно обслужване поради плащане от клиентите със стотинки и др. под. (31%); неточно </w:t>
      </w:r>
      <w:proofErr w:type="spellStart"/>
      <w:r w:rsidRPr="00F363F3">
        <w:t>превалутиране</w:t>
      </w:r>
      <w:proofErr w:type="spellEnd"/>
      <w:r w:rsidRPr="00F363F3">
        <w:t xml:space="preserve"> и по-високи цени спрямо декември (28%). Имайки предвид, че до края на периода на двойно обръщение остават броени дни, част от тези трудности ще се разсеят. Следващият вододел ще бъде окончателното излизане на лева от обръщение през февруари, когато е възможно да се появят нови рискове. Като устойчив и дългосрочен риск се очертава въпросът за повишаването на цените, който всички проучвания дотук открояват като най-чувствителен за хората.</w:t>
      </w:r>
    </w:p>
    <w:p w14:paraId="725B0ECA"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 xml:space="preserve">Впечатленията за цялостно плавен преход стабилизират подкрепата за членството в еврозоната и смекчават част от притесненията за краткосрочните ефекти от въвеждането на еврото. След лек спад през декември, подкрепата на национално ниво отново преминава психологическата граница от 50 на сто (51%:47%), а тази на бизнеса запазва традиционните </w:t>
      </w:r>
      <w:r w:rsidRPr="00F363F3">
        <w:lastRenderedPageBreak/>
        <w:t>си изключително високи нива (67%:33%). По отношение на очакванията за краткосрочните ефекти от въвеждането на еврото оценките на гражданите също търпят позитивен тренд - от 31% позитивни : 51% негативни през декември те се променят на 35% : 44% през януари. След моментна „предстартова треска“ бизнесът възвръща оптимизма си, като той бележи най-високите си нива от началото на мониторинга (52%:29%, при 39%:43% през декември). Очакванията за дългосрочните ефекти се запазват устойчиво положителни.</w:t>
      </w:r>
    </w:p>
    <w:p w14:paraId="2A533D9E"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Анализът на практиките на българските граждани през първите седмици на прехода от лева към еврото позволява да се откроят някои чувствителни зони, към които е добре да се насочи внимание, за да се подсигури спокойното протичане на процеса и след периода на двойното обръщение.</w:t>
      </w:r>
    </w:p>
    <w:p w14:paraId="566F8EF8" w14:textId="77777777" w:rsidR="00F363F3" w:rsidRPr="00F363F3" w:rsidRDefault="00F363F3" w:rsidP="005842D6">
      <w:pPr>
        <w:pStyle w:val="ListParagraph"/>
        <w:numPr>
          <w:ilvl w:val="1"/>
          <w:numId w:val="9"/>
        </w:numPr>
        <w:spacing w:before="120" w:line="240" w:lineRule="auto"/>
        <w:ind w:hanging="357"/>
        <w:contextualSpacing w:val="0"/>
        <w:jc w:val="both"/>
        <w:rPr>
          <w:i/>
          <w:iCs/>
        </w:rPr>
      </w:pPr>
      <w:r w:rsidRPr="00F363F3">
        <w:t xml:space="preserve">88% от българите по един или друг начин вече са получили суми в евро. </w:t>
      </w:r>
      <w:r w:rsidRPr="00F363F3">
        <w:rPr>
          <w:i/>
          <w:iCs/>
        </w:rPr>
        <w:t>Сред 12-те на сто, които не са имали достъп обаче се открояват представители на най-уязвимите социални групи – най-нискодоходните граждани с основно образование, представители на етническите малцинства – които са рискови както от гледна точка на злоупотреби и измами, така и заради потенциална невъзможност изобщо да се ориентират в новите парични средства. Съществена част от тях посочват, че биха имали нужда от помощ при обменянето на левове в евро.</w:t>
      </w:r>
    </w:p>
    <w:p w14:paraId="22B3C54A" w14:textId="10CC9F42" w:rsidR="00F363F3" w:rsidRDefault="00F363F3" w:rsidP="005842D6">
      <w:pPr>
        <w:pStyle w:val="ListParagraph"/>
        <w:numPr>
          <w:ilvl w:val="1"/>
          <w:numId w:val="9"/>
        </w:numPr>
        <w:spacing w:before="120" w:line="240" w:lineRule="auto"/>
        <w:ind w:hanging="357"/>
        <w:contextualSpacing w:val="0"/>
        <w:jc w:val="both"/>
        <w:rPr>
          <w:i/>
          <w:iCs/>
        </w:rPr>
      </w:pPr>
      <w:r w:rsidRPr="00F363F3">
        <w:rPr>
          <w:i/>
          <w:iCs/>
        </w:rPr>
        <w:t xml:space="preserve">Всеки пети български гражданин (21%) споделя, че все още не е предприел никакви стъпки за обменяне на наличните си левове, което означава, че към края на януари все още има значителни количества левове в обръщение. През пролетта и лятото са възможни нови епизоди на опашки пред банкови клонове, ако твърде много хора отложат обменянето за последния момент. Този риск е по-изразен в малките населени места с по-ограничен брой банкови клонове и същевременно по-висок дял </w:t>
      </w:r>
      <w:proofErr w:type="spellStart"/>
      <w:r w:rsidRPr="00F363F3">
        <w:rPr>
          <w:i/>
          <w:iCs/>
        </w:rPr>
        <w:t>непредприели</w:t>
      </w:r>
      <w:proofErr w:type="spellEnd"/>
      <w:r w:rsidRPr="00F363F3">
        <w:rPr>
          <w:i/>
          <w:iCs/>
        </w:rPr>
        <w:t xml:space="preserve"> действия за обменяне на средства.</w:t>
      </w:r>
    </w:p>
    <w:p w14:paraId="68AFF81C" w14:textId="77777777" w:rsidR="00F363F3" w:rsidRPr="00F363F3" w:rsidRDefault="00F363F3" w:rsidP="005842D6">
      <w:pPr>
        <w:pStyle w:val="ListParagraph"/>
        <w:numPr>
          <w:ilvl w:val="1"/>
          <w:numId w:val="9"/>
        </w:numPr>
        <w:spacing w:before="120" w:line="240" w:lineRule="auto"/>
        <w:ind w:hanging="357"/>
        <w:contextualSpacing w:val="0"/>
        <w:jc w:val="both"/>
        <w:rPr>
          <w:i/>
          <w:iCs/>
        </w:rPr>
      </w:pPr>
      <w:r w:rsidRPr="00F363F3">
        <w:rPr>
          <w:i/>
          <w:iCs/>
        </w:rPr>
        <w:t xml:space="preserve">Налице е широко разпространена нагласа, вместо да се обменят, по-малките левови наличности да бъдат изхарчени в брой до края на януари (28%). Тя повлиява върху обема на разплащанията в брой и намеренията максимално дълго да се използва плащане с левове: 64% посочват, че след 1-ви януари плащат предимно в брой, близо два пъти по-малко (35%) използват основно банкова карта; в съотношение над 3:1 разплащанията до момента са предимно в левове; 32% предпочитат да използват левове колкото е възможно по-дълго. Така очертаните практики открояват няколко риска, които биха могли да намерят проявление и след периода на двойно обръщение: </w:t>
      </w:r>
    </w:p>
    <w:p w14:paraId="41CE2CED" w14:textId="77777777" w:rsidR="00F363F3" w:rsidRPr="00F363F3" w:rsidRDefault="00F363F3" w:rsidP="005842D6">
      <w:pPr>
        <w:pStyle w:val="ListParagraph"/>
        <w:numPr>
          <w:ilvl w:val="2"/>
          <w:numId w:val="11"/>
        </w:numPr>
        <w:spacing w:after="0" w:line="240" w:lineRule="auto"/>
        <w:ind w:hanging="357"/>
        <w:contextualSpacing w:val="0"/>
        <w:jc w:val="both"/>
        <w:rPr>
          <w:b/>
          <w:bCs/>
          <w:i/>
          <w:iCs/>
        </w:rPr>
      </w:pPr>
      <w:r w:rsidRPr="00F363F3">
        <w:rPr>
          <w:b/>
          <w:bCs/>
          <w:i/>
          <w:iCs/>
        </w:rPr>
        <w:t>затруднения за търговците и потенциални напрежения между потребители и търговци;</w:t>
      </w:r>
    </w:p>
    <w:p w14:paraId="1D9E6960" w14:textId="77777777" w:rsidR="00F363F3" w:rsidRPr="00F363F3" w:rsidRDefault="00F363F3" w:rsidP="005842D6">
      <w:pPr>
        <w:pStyle w:val="ListParagraph"/>
        <w:numPr>
          <w:ilvl w:val="2"/>
          <w:numId w:val="11"/>
        </w:numPr>
        <w:spacing w:after="0" w:line="240" w:lineRule="auto"/>
        <w:ind w:hanging="357"/>
        <w:contextualSpacing w:val="0"/>
        <w:jc w:val="both"/>
        <w:rPr>
          <w:b/>
          <w:bCs/>
          <w:i/>
          <w:iCs/>
        </w:rPr>
      </w:pPr>
      <w:r w:rsidRPr="00F363F3">
        <w:rPr>
          <w:b/>
          <w:bCs/>
          <w:i/>
          <w:iCs/>
        </w:rPr>
        <w:t>забавяне на процеса по изтегляне на левовете от обръщение и възможна последваща допълнителна натовареност на банковата система;</w:t>
      </w:r>
    </w:p>
    <w:p w14:paraId="613D4337" w14:textId="77777777" w:rsidR="00F363F3" w:rsidRPr="00F363F3" w:rsidRDefault="00F363F3" w:rsidP="005842D6">
      <w:pPr>
        <w:pStyle w:val="ListParagraph"/>
        <w:numPr>
          <w:ilvl w:val="2"/>
          <w:numId w:val="11"/>
        </w:numPr>
        <w:spacing w:after="0" w:line="240" w:lineRule="auto"/>
        <w:ind w:hanging="357"/>
        <w:contextualSpacing w:val="0"/>
        <w:jc w:val="both"/>
        <w:rPr>
          <w:b/>
          <w:bCs/>
          <w:i/>
          <w:iCs/>
        </w:rPr>
      </w:pPr>
      <w:r w:rsidRPr="00F363F3">
        <w:rPr>
          <w:b/>
          <w:bCs/>
          <w:i/>
          <w:iCs/>
        </w:rPr>
        <w:t>по-трудна адаптация на част от гражданите след периода на двойно обръщение и възникване на отделни огнища на недоволство, след като се преустанови приемането на левове;</w:t>
      </w:r>
    </w:p>
    <w:p w14:paraId="41B5AFF9" w14:textId="06488FCB" w:rsidR="00F363F3" w:rsidRPr="005842D6" w:rsidRDefault="00F363F3" w:rsidP="005842D6">
      <w:pPr>
        <w:pStyle w:val="ListParagraph"/>
        <w:numPr>
          <w:ilvl w:val="2"/>
          <w:numId w:val="11"/>
        </w:numPr>
        <w:spacing w:after="0" w:line="240" w:lineRule="auto"/>
        <w:ind w:hanging="357"/>
        <w:contextualSpacing w:val="0"/>
        <w:jc w:val="both"/>
        <w:rPr>
          <w:b/>
          <w:bCs/>
          <w:i/>
          <w:iCs/>
        </w:rPr>
      </w:pPr>
      <w:r w:rsidRPr="005842D6">
        <w:rPr>
          <w:b/>
          <w:bCs/>
          <w:i/>
          <w:iCs/>
        </w:rPr>
        <w:t>неспазване на крайния срок за двойно плащане, особено в някои по-малки и отдалечени населени места.</w:t>
      </w:r>
    </w:p>
    <w:p w14:paraId="5C352A58" w14:textId="07D27A9D" w:rsidR="00F363F3" w:rsidRDefault="00F363F3" w:rsidP="005842D6">
      <w:pPr>
        <w:pStyle w:val="ListParagraph"/>
        <w:numPr>
          <w:ilvl w:val="1"/>
          <w:numId w:val="9"/>
        </w:numPr>
        <w:spacing w:before="120" w:line="240" w:lineRule="auto"/>
        <w:ind w:hanging="357"/>
        <w:contextualSpacing w:val="0"/>
        <w:jc w:val="both"/>
        <w:rPr>
          <w:i/>
          <w:iCs/>
        </w:rPr>
      </w:pPr>
      <w:r w:rsidRPr="00F363F3">
        <w:rPr>
          <w:i/>
          <w:iCs/>
        </w:rPr>
        <w:t xml:space="preserve">Психологическата настройка и някои практики на бизнеса създават потенциал за продължаване на инфлацията. На въпрос дали се очаква да увеличават цените на предлаганите стоки и услуги, най-голям дял от анкетираните управители на фирми (40%) оставят пътя отворен, като заемат изчаквателната позиция: „Ще видим какво ще покаже пазара“. 22% директно отговарят, че вече им се налага </w:t>
      </w:r>
      <w:r w:rsidRPr="00F363F3">
        <w:rPr>
          <w:i/>
          <w:iCs/>
        </w:rPr>
        <w:lastRenderedPageBreak/>
        <w:t>увеличение поради обективни (18%) или чисто конкурентни (4%) причини. Само 35% са категорични, че ще останат на настоящите ценови равнища.</w:t>
      </w:r>
    </w:p>
    <w:p w14:paraId="49A22A3C"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Самооценките за степен на информираност на национално ниво продължават да нарастват с изключително бързи темпове (74%), като стойностите постепенно се доближават до регистрираните нива при бизнеса (85%). Паралелно с това и при двете целеви групи се увеличава запознатостта с ключови практически аспекти на процеса и достига най-високата си точка от началото на мониторинга, включително по въпроси, по които допреди няколко месеца се наблюдаваха съществени информационни „бели полета“.</w:t>
      </w:r>
    </w:p>
    <w:p w14:paraId="6D3B26BF" w14:textId="77777777" w:rsidR="00F363F3" w:rsidRPr="00F363F3" w:rsidRDefault="00F363F3" w:rsidP="005842D6">
      <w:pPr>
        <w:pStyle w:val="ListParagraph"/>
        <w:numPr>
          <w:ilvl w:val="1"/>
          <w:numId w:val="9"/>
        </w:numPr>
        <w:spacing w:before="120" w:line="240" w:lineRule="auto"/>
        <w:ind w:hanging="357"/>
        <w:contextualSpacing w:val="0"/>
        <w:jc w:val="both"/>
      </w:pPr>
      <w:r w:rsidRPr="00F363F3">
        <w:t>От предишното проучване през декември запознатостта с периода на двойното обръщение нараства от 58% на 84% при гражданите и от  71% на 91% при бизнеса.</w:t>
      </w:r>
    </w:p>
    <w:p w14:paraId="114A5D42" w14:textId="77777777" w:rsidR="00F363F3" w:rsidRPr="00F363F3" w:rsidRDefault="00F363F3" w:rsidP="005842D6">
      <w:pPr>
        <w:pStyle w:val="ListParagraph"/>
        <w:numPr>
          <w:ilvl w:val="1"/>
          <w:numId w:val="9"/>
        </w:numPr>
        <w:spacing w:before="120" w:line="240" w:lineRule="auto"/>
        <w:ind w:hanging="357"/>
        <w:contextualSpacing w:val="0"/>
        <w:jc w:val="both"/>
      </w:pPr>
      <w:r w:rsidRPr="00F363F3">
        <w:t>Запознатостта с периода за обменяне на левове без такси и комисионни бележи ръст от 50% на 65% при гражданите и от 66% на 79% при бизнеса.</w:t>
      </w:r>
    </w:p>
    <w:p w14:paraId="6CE867CB" w14:textId="77777777" w:rsidR="00F363F3" w:rsidRPr="00F363F3" w:rsidRDefault="00F363F3" w:rsidP="005842D6">
      <w:pPr>
        <w:pStyle w:val="ListParagraph"/>
        <w:numPr>
          <w:ilvl w:val="0"/>
          <w:numId w:val="9"/>
        </w:numPr>
        <w:spacing w:before="120" w:line="240" w:lineRule="auto"/>
        <w:ind w:hanging="357"/>
        <w:contextualSpacing w:val="0"/>
        <w:jc w:val="both"/>
      </w:pPr>
      <w:r w:rsidRPr="00F363F3">
        <w:t>Популярността на сравнително скоро учредения Координационен център за въвеждане на еврото, от друга страна, все още е ограничена. В съотношение 2:1 преобладават незапознатите с дейността му, като нивата са аналогични както на национално ниво, така и в специфичната група на бизнеса. Сред запознатите доминират позитивните оценки за дейността му.</w:t>
      </w:r>
    </w:p>
    <w:p w14:paraId="31BBFD54" w14:textId="2AE2C724" w:rsidR="00F363F3" w:rsidRPr="00F363F3" w:rsidRDefault="00F363F3" w:rsidP="005842D6">
      <w:pPr>
        <w:pStyle w:val="ListParagraph"/>
        <w:numPr>
          <w:ilvl w:val="0"/>
          <w:numId w:val="9"/>
        </w:numPr>
        <w:spacing w:before="120" w:line="240" w:lineRule="auto"/>
        <w:ind w:hanging="357"/>
        <w:contextualSpacing w:val="0"/>
        <w:jc w:val="both"/>
      </w:pPr>
      <w:r w:rsidRPr="00F363F3">
        <w:t>Справянето с възникващите проблеми зависи и от ангажираността на гражданите и фирмите в процеса. В този смисъл насърчаването на по-висока активност минава през популяризиране на каналите за сигнализиране. Въпреки че мнозинството от гражданите (54%) и бизнеса (62%) смятат, че са наясно с тях, делът на незапознатите остава висок – 46% на национално ниво и 38% при бизнеса. На декларативно ниво се забелязва висока степен на готовност да се сигнализира (67%-72%). При увеличаване на информираността, се открива възможност за по-активно включване на граждани и фирми в процеса на превенция и, съответно, за увеличаване на ефективността при контрола срещу нередности или злоупотреби.</w:t>
      </w:r>
    </w:p>
    <w:sectPr w:rsidR="00F363F3" w:rsidRPr="00F363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A46FD"/>
    <w:multiLevelType w:val="hybridMultilevel"/>
    <w:tmpl w:val="3E4AF390"/>
    <w:lvl w:ilvl="0" w:tplc="72FCC4E0">
      <w:start w:val="1"/>
      <w:numFmt w:val="bullet"/>
      <w:lvlText w:val="•"/>
      <w:lvlJc w:val="left"/>
      <w:pPr>
        <w:tabs>
          <w:tab w:val="num" w:pos="720"/>
        </w:tabs>
        <w:ind w:left="720" w:hanging="360"/>
      </w:pPr>
      <w:rPr>
        <w:rFonts w:ascii="Arial" w:hAnsi="Arial" w:hint="default"/>
      </w:rPr>
    </w:lvl>
    <w:lvl w:ilvl="1" w:tplc="62AAAC0A">
      <w:start w:val="1"/>
      <w:numFmt w:val="bullet"/>
      <w:lvlText w:val="•"/>
      <w:lvlJc w:val="left"/>
      <w:pPr>
        <w:tabs>
          <w:tab w:val="num" w:pos="1440"/>
        </w:tabs>
        <w:ind w:left="1440" w:hanging="360"/>
      </w:pPr>
      <w:rPr>
        <w:rFonts w:ascii="Arial" w:hAnsi="Arial" w:hint="default"/>
      </w:rPr>
    </w:lvl>
    <w:lvl w:ilvl="2" w:tplc="84D2E83E" w:tentative="1">
      <w:start w:val="1"/>
      <w:numFmt w:val="bullet"/>
      <w:lvlText w:val="•"/>
      <w:lvlJc w:val="left"/>
      <w:pPr>
        <w:tabs>
          <w:tab w:val="num" w:pos="2160"/>
        </w:tabs>
        <w:ind w:left="2160" w:hanging="360"/>
      </w:pPr>
      <w:rPr>
        <w:rFonts w:ascii="Arial" w:hAnsi="Arial" w:hint="default"/>
      </w:rPr>
    </w:lvl>
    <w:lvl w:ilvl="3" w:tplc="3858E28C" w:tentative="1">
      <w:start w:val="1"/>
      <w:numFmt w:val="bullet"/>
      <w:lvlText w:val="•"/>
      <w:lvlJc w:val="left"/>
      <w:pPr>
        <w:tabs>
          <w:tab w:val="num" w:pos="2880"/>
        </w:tabs>
        <w:ind w:left="2880" w:hanging="360"/>
      </w:pPr>
      <w:rPr>
        <w:rFonts w:ascii="Arial" w:hAnsi="Arial" w:hint="default"/>
      </w:rPr>
    </w:lvl>
    <w:lvl w:ilvl="4" w:tplc="A5DA170A" w:tentative="1">
      <w:start w:val="1"/>
      <w:numFmt w:val="bullet"/>
      <w:lvlText w:val="•"/>
      <w:lvlJc w:val="left"/>
      <w:pPr>
        <w:tabs>
          <w:tab w:val="num" w:pos="3600"/>
        </w:tabs>
        <w:ind w:left="3600" w:hanging="360"/>
      </w:pPr>
      <w:rPr>
        <w:rFonts w:ascii="Arial" w:hAnsi="Arial" w:hint="default"/>
      </w:rPr>
    </w:lvl>
    <w:lvl w:ilvl="5" w:tplc="34389410" w:tentative="1">
      <w:start w:val="1"/>
      <w:numFmt w:val="bullet"/>
      <w:lvlText w:val="•"/>
      <w:lvlJc w:val="left"/>
      <w:pPr>
        <w:tabs>
          <w:tab w:val="num" w:pos="4320"/>
        </w:tabs>
        <w:ind w:left="4320" w:hanging="360"/>
      </w:pPr>
      <w:rPr>
        <w:rFonts w:ascii="Arial" w:hAnsi="Arial" w:hint="default"/>
      </w:rPr>
    </w:lvl>
    <w:lvl w:ilvl="6" w:tplc="9BD0E550" w:tentative="1">
      <w:start w:val="1"/>
      <w:numFmt w:val="bullet"/>
      <w:lvlText w:val="•"/>
      <w:lvlJc w:val="left"/>
      <w:pPr>
        <w:tabs>
          <w:tab w:val="num" w:pos="5040"/>
        </w:tabs>
        <w:ind w:left="5040" w:hanging="360"/>
      </w:pPr>
      <w:rPr>
        <w:rFonts w:ascii="Arial" w:hAnsi="Arial" w:hint="default"/>
      </w:rPr>
    </w:lvl>
    <w:lvl w:ilvl="7" w:tplc="B8589CF0" w:tentative="1">
      <w:start w:val="1"/>
      <w:numFmt w:val="bullet"/>
      <w:lvlText w:val="•"/>
      <w:lvlJc w:val="left"/>
      <w:pPr>
        <w:tabs>
          <w:tab w:val="num" w:pos="5760"/>
        </w:tabs>
        <w:ind w:left="5760" w:hanging="360"/>
      </w:pPr>
      <w:rPr>
        <w:rFonts w:ascii="Arial" w:hAnsi="Arial" w:hint="default"/>
      </w:rPr>
    </w:lvl>
    <w:lvl w:ilvl="8" w:tplc="4CBAEB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F76AFD"/>
    <w:multiLevelType w:val="hybridMultilevel"/>
    <w:tmpl w:val="9A286146"/>
    <w:lvl w:ilvl="0" w:tplc="1AF0B938">
      <w:start w:val="1"/>
      <w:numFmt w:val="bullet"/>
      <w:lvlText w:val="•"/>
      <w:lvlJc w:val="left"/>
      <w:pPr>
        <w:tabs>
          <w:tab w:val="num" w:pos="720"/>
        </w:tabs>
        <w:ind w:left="720" w:hanging="360"/>
      </w:pPr>
      <w:rPr>
        <w:rFonts w:ascii="Arial" w:hAnsi="Arial" w:hint="default"/>
      </w:rPr>
    </w:lvl>
    <w:lvl w:ilvl="1" w:tplc="187A4146" w:tentative="1">
      <w:start w:val="1"/>
      <w:numFmt w:val="bullet"/>
      <w:lvlText w:val="•"/>
      <w:lvlJc w:val="left"/>
      <w:pPr>
        <w:tabs>
          <w:tab w:val="num" w:pos="1440"/>
        </w:tabs>
        <w:ind w:left="1440" w:hanging="360"/>
      </w:pPr>
      <w:rPr>
        <w:rFonts w:ascii="Arial" w:hAnsi="Arial" w:hint="default"/>
      </w:rPr>
    </w:lvl>
    <w:lvl w:ilvl="2" w:tplc="A7F25DB2" w:tentative="1">
      <w:start w:val="1"/>
      <w:numFmt w:val="bullet"/>
      <w:lvlText w:val="•"/>
      <w:lvlJc w:val="left"/>
      <w:pPr>
        <w:tabs>
          <w:tab w:val="num" w:pos="2160"/>
        </w:tabs>
        <w:ind w:left="2160" w:hanging="360"/>
      </w:pPr>
      <w:rPr>
        <w:rFonts w:ascii="Arial" w:hAnsi="Arial" w:hint="default"/>
      </w:rPr>
    </w:lvl>
    <w:lvl w:ilvl="3" w:tplc="0F964B96" w:tentative="1">
      <w:start w:val="1"/>
      <w:numFmt w:val="bullet"/>
      <w:lvlText w:val="•"/>
      <w:lvlJc w:val="left"/>
      <w:pPr>
        <w:tabs>
          <w:tab w:val="num" w:pos="2880"/>
        </w:tabs>
        <w:ind w:left="2880" w:hanging="360"/>
      </w:pPr>
      <w:rPr>
        <w:rFonts w:ascii="Arial" w:hAnsi="Arial" w:hint="default"/>
      </w:rPr>
    </w:lvl>
    <w:lvl w:ilvl="4" w:tplc="197CF730" w:tentative="1">
      <w:start w:val="1"/>
      <w:numFmt w:val="bullet"/>
      <w:lvlText w:val="•"/>
      <w:lvlJc w:val="left"/>
      <w:pPr>
        <w:tabs>
          <w:tab w:val="num" w:pos="3600"/>
        </w:tabs>
        <w:ind w:left="3600" w:hanging="360"/>
      </w:pPr>
      <w:rPr>
        <w:rFonts w:ascii="Arial" w:hAnsi="Arial" w:hint="default"/>
      </w:rPr>
    </w:lvl>
    <w:lvl w:ilvl="5" w:tplc="B6CC381A" w:tentative="1">
      <w:start w:val="1"/>
      <w:numFmt w:val="bullet"/>
      <w:lvlText w:val="•"/>
      <w:lvlJc w:val="left"/>
      <w:pPr>
        <w:tabs>
          <w:tab w:val="num" w:pos="4320"/>
        </w:tabs>
        <w:ind w:left="4320" w:hanging="360"/>
      </w:pPr>
      <w:rPr>
        <w:rFonts w:ascii="Arial" w:hAnsi="Arial" w:hint="default"/>
      </w:rPr>
    </w:lvl>
    <w:lvl w:ilvl="6" w:tplc="BB14A0B4" w:tentative="1">
      <w:start w:val="1"/>
      <w:numFmt w:val="bullet"/>
      <w:lvlText w:val="•"/>
      <w:lvlJc w:val="left"/>
      <w:pPr>
        <w:tabs>
          <w:tab w:val="num" w:pos="5040"/>
        </w:tabs>
        <w:ind w:left="5040" w:hanging="360"/>
      </w:pPr>
      <w:rPr>
        <w:rFonts w:ascii="Arial" w:hAnsi="Arial" w:hint="default"/>
      </w:rPr>
    </w:lvl>
    <w:lvl w:ilvl="7" w:tplc="8750A8EC" w:tentative="1">
      <w:start w:val="1"/>
      <w:numFmt w:val="bullet"/>
      <w:lvlText w:val="•"/>
      <w:lvlJc w:val="left"/>
      <w:pPr>
        <w:tabs>
          <w:tab w:val="num" w:pos="5760"/>
        </w:tabs>
        <w:ind w:left="5760" w:hanging="360"/>
      </w:pPr>
      <w:rPr>
        <w:rFonts w:ascii="Arial" w:hAnsi="Arial" w:hint="default"/>
      </w:rPr>
    </w:lvl>
    <w:lvl w:ilvl="8" w:tplc="DD0485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352785"/>
    <w:multiLevelType w:val="hybridMultilevel"/>
    <w:tmpl w:val="B816AACC"/>
    <w:lvl w:ilvl="0" w:tplc="C2D2665A">
      <w:start w:val="1"/>
      <w:numFmt w:val="bullet"/>
      <w:lvlText w:val="•"/>
      <w:lvlJc w:val="left"/>
      <w:pPr>
        <w:tabs>
          <w:tab w:val="num" w:pos="720"/>
        </w:tabs>
        <w:ind w:left="720" w:hanging="360"/>
      </w:pPr>
      <w:rPr>
        <w:rFonts w:ascii="Arial" w:hAnsi="Arial" w:hint="default"/>
      </w:rPr>
    </w:lvl>
    <w:lvl w:ilvl="1" w:tplc="232467CA">
      <w:start w:val="1"/>
      <w:numFmt w:val="bullet"/>
      <w:lvlText w:val="•"/>
      <w:lvlJc w:val="left"/>
      <w:pPr>
        <w:tabs>
          <w:tab w:val="num" w:pos="1440"/>
        </w:tabs>
        <w:ind w:left="1440" w:hanging="360"/>
      </w:pPr>
      <w:rPr>
        <w:rFonts w:ascii="Arial" w:hAnsi="Arial" w:hint="default"/>
      </w:rPr>
    </w:lvl>
    <w:lvl w:ilvl="2" w:tplc="1A163538" w:tentative="1">
      <w:start w:val="1"/>
      <w:numFmt w:val="bullet"/>
      <w:lvlText w:val="•"/>
      <w:lvlJc w:val="left"/>
      <w:pPr>
        <w:tabs>
          <w:tab w:val="num" w:pos="2160"/>
        </w:tabs>
        <w:ind w:left="2160" w:hanging="360"/>
      </w:pPr>
      <w:rPr>
        <w:rFonts w:ascii="Arial" w:hAnsi="Arial" w:hint="default"/>
      </w:rPr>
    </w:lvl>
    <w:lvl w:ilvl="3" w:tplc="2DD0100C" w:tentative="1">
      <w:start w:val="1"/>
      <w:numFmt w:val="bullet"/>
      <w:lvlText w:val="•"/>
      <w:lvlJc w:val="left"/>
      <w:pPr>
        <w:tabs>
          <w:tab w:val="num" w:pos="2880"/>
        </w:tabs>
        <w:ind w:left="2880" w:hanging="360"/>
      </w:pPr>
      <w:rPr>
        <w:rFonts w:ascii="Arial" w:hAnsi="Arial" w:hint="default"/>
      </w:rPr>
    </w:lvl>
    <w:lvl w:ilvl="4" w:tplc="F1061E14" w:tentative="1">
      <w:start w:val="1"/>
      <w:numFmt w:val="bullet"/>
      <w:lvlText w:val="•"/>
      <w:lvlJc w:val="left"/>
      <w:pPr>
        <w:tabs>
          <w:tab w:val="num" w:pos="3600"/>
        </w:tabs>
        <w:ind w:left="3600" w:hanging="360"/>
      </w:pPr>
      <w:rPr>
        <w:rFonts w:ascii="Arial" w:hAnsi="Arial" w:hint="default"/>
      </w:rPr>
    </w:lvl>
    <w:lvl w:ilvl="5" w:tplc="43021A60" w:tentative="1">
      <w:start w:val="1"/>
      <w:numFmt w:val="bullet"/>
      <w:lvlText w:val="•"/>
      <w:lvlJc w:val="left"/>
      <w:pPr>
        <w:tabs>
          <w:tab w:val="num" w:pos="4320"/>
        </w:tabs>
        <w:ind w:left="4320" w:hanging="360"/>
      </w:pPr>
      <w:rPr>
        <w:rFonts w:ascii="Arial" w:hAnsi="Arial" w:hint="default"/>
      </w:rPr>
    </w:lvl>
    <w:lvl w:ilvl="6" w:tplc="417CBBA2" w:tentative="1">
      <w:start w:val="1"/>
      <w:numFmt w:val="bullet"/>
      <w:lvlText w:val="•"/>
      <w:lvlJc w:val="left"/>
      <w:pPr>
        <w:tabs>
          <w:tab w:val="num" w:pos="5040"/>
        </w:tabs>
        <w:ind w:left="5040" w:hanging="360"/>
      </w:pPr>
      <w:rPr>
        <w:rFonts w:ascii="Arial" w:hAnsi="Arial" w:hint="default"/>
      </w:rPr>
    </w:lvl>
    <w:lvl w:ilvl="7" w:tplc="DC5EBC6E" w:tentative="1">
      <w:start w:val="1"/>
      <w:numFmt w:val="bullet"/>
      <w:lvlText w:val="•"/>
      <w:lvlJc w:val="left"/>
      <w:pPr>
        <w:tabs>
          <w:tab w:val="num" w:pos="5760"/>
        </w:tabs>
        <w:ind w:left="5760" w:hanging="360"/>
      </w:pPr>
      <w:rPr>
        <w:rFonts w:ascii="Arial" w:hAnsi="Arial" w:hint="default"/>
      </w:rPr>
    </w:lvl>
    <w:lvl w:ilvl="8" w:tplc="4E0EF7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250AB8"/>
    <w:multiLevelType w:val="hybridMultilevel"/>
    <w:tmpl w:val="C3DA0E6E"/>
    <w:lvl w:ilvl="0" w:tplc="D24AF982">
      <w:start w:val="1"/>
      <w:numFmt w:val="bullet"/>
      <w:lvlText w:val="•"/>
      <w:lvlJc w:val="left"/>
      <w:pPr>
        <w:tabs>
          <w:tab w:val="num" w:pos="720"/>
        </w:tabs>
        <w:ind w:left="720" w:hanging="360"/>
      </w:pPr>
      <w:rPr>
        <w:rFonts w:ascii="Arial" w:hAnsi="Arial" w:hint="default"/>
      </w:rPr>
    </w:lvl>
    <w:lvl w:ilvl="1" w:tplc="A8401B6A" w:tentative="1">
      <w:start w:val="1"/>
      <w:numFmt w:val="bullet"/>
      <w:lvlText w:val="•"/>
      <w:lvlJc w:val="left"/>
      <w:pPr>
        <w:tabs>
          <w:tab w:val="num" w:pos="1440"/>
        </w:tabs>
        <w:ind w:left="1440" w:hanging="360"/>
      </w:pPr>
      <w:rPr>
        <w:rFonts w:ascii="Arial" w:hAnsi="Arial" w:hint="default"/>
      </w:rPr>
    </w:lvl>
    <w:lvl w:ilvl="2" w:tplc="F0045B70" w:tentative="1">
      <w:start w:val="1"/>
      <w:numFmt w:val="bullet"/>
      <w:lvlText w:val="•"/>
      <w:lvlJc w:val="left"/>
      <w:pPr>
        <w:tabs>
          <w:tab w:val="num" w:pos="2160"/>
        </w:tabs>
        <w:ind w:left="2160" w:hanging="360"/>
      </w:pPr>
      <w:rPr>
        <w:rFonts w:ascii="Arial" w:hAnsi="Arial" w:hint="default"/>
      </w:rPr>
    </w:lvl>
    <w:lvl w:ilvl="3" w:tplc="3424AADC" w:tentative="1">
      <w:start w:val="1"/>
      <w:numFmt w:val="bullet"/>
      <w:lvlText w:val="•"/>
      <w:lvlJc w:val="left"/>
      <w:pPr>
        <w:tabs>
          <w:tab w:val="num" w:pos="2880"/>
        </w:tabs>
        <w:ind w:left="2880" w:hanging="360"/>
      </w:pPr>
      <w:rPr>
        <w:rFonts w:ascii="Arial" w:hAnsi="Arial" w:hint="default"/>
      </w:rPr>
    </w:lvl>
    <w:lvl w:ilvl="4" w:tplc="60BC620C" w:tentative="1">
      <w:start w:val="1"/>
      <w:numFmt w:val="bullet"/>
      <w:lvlText w:val="•"/>
      <w:lvlJc w:val="left"/>
      <w:pPr>
        <w:tabs>
          <w:tab w:val="num" w:pos="3600"/>
        </w:tabs>
        <w:ind w:left="3600" w:hanging="360"/>
      </w:pPr>
      <w:rPr>
        <w:rFonts w:ascii="Arial" w:hAnsi="Arial" w:hint="default"/>
      </w:rPr>
    </w:lvl>
    <w:lvl w:ilvl="5" w:tplc="C03E87A6" w:tentative="1">
      <w:start w:val="1"/>
      <w:numFmt w:val="bullet"/>
      <w:lvlText w:val="•"/>
      <w:lvlJc w:val="left"/>
      <w:pPr>
        <w:tabs>
          <w:tab w:val="num" w:pos="4320"/>
        </w:tabs>
        <w:ind w:left="4320" w:hanging="360"/>
      </w:pPr>
      <w:rPr>
        <w:rFonts w:ascii="Arial" w:hAnsi="Arial" w:hint="default"/>
      </w:rPr>
    </w:lvl>
    <w:lvl w:ilvl="6" w:tplc="7DF6E682" w:tentative="1">
      <w:start w:val="1"/>
      <w:numFmt w:val="bullet"/>
      <w:lvlText w:val="•"/>
      <w:lvlJc w:val="left"/>
      <w:pPr>
        <w:tabs>
          <w:tab w:val="num" w:pos="5040"/>
        </w:tabs>
        <w:ind w:left="5040" w:hanging="360"/>
      </w:pPr>
      <w:rPr>
        <w:rFonts w:ascii="Arial" w:hAnsi="Arial" w:hint="default"/>
      </w:rPr>
    </w:lvl>
    <w:lvl w:ilvl="7" w:tplc="A7BA09EE" w:tentative="1">
      <w:start w:val="1"/>
      <w:numFmt w:val="bullet"/>
      <w:lvlText w:val="•"/>
      <w:lvlJc w:val="left"/>
      <w:pPr>
        <w:tabs>
          <w:tab w:val="num" w:pos="5760"/>
        </w:tabs>
        <w:ind w:left="5760" w:hanging="360"/>
      </w:pPr>
      <w:rPr>
        <w:rFonts w:ascii="Arial" w:hAnsi="Arial" w:hint="default"/>
      </w:rPr>
    </w:lvl>
    <w:lvl w:ilvl="8" w:tplc="37F4FE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D1367E"/>
    <w:multiLevelType w:val="hybridMultilevel"/>
    <w:tmpl w:val="56568A54"/>
    <w:lvl w:ilvl="0" w:tplc="5A2224CC">
      <w:start w:val="1"/>
      <w:numFmt w:val="bullet"/>
      <w:lvlText w:val="•"/>
      <w:lvlJc w:val="left"/>
      <w:pPr>
        <w:tabs>
          <w:tab w:val="num" w:pos="720"/>
        </w:tabs>
        <w:ind w:left="720" w:hanging="360"/>
      </w:pPr>
      <w:rPr>
        <w:rFonts w:ascii="Arial" w:hAnsi="Arial" w:hint="default"/>
      </w:rPr>
    </w:lvl>
    <w:lvl w:ilvl="1" w:tplc="2114610A">
      <w:start w:val="1"/>
      <w:numFmt w:val="bullet"/>
      <w:lvlText w:val="•"/>
      <w:lvlJc w:val="left"/>
      <w:pPr>
        <w:tabs>
          <w:tab w:val="num" w:pos="1440"/>
        </w:tabs>
        <w:ind w:left="1440" w:hanging="360"/>
      </w:pPr>
      <w:rPr>
        <w:rFonts w:ascii="Arial" w:hAnsi="Arial" w:hint="default"/>
      </w:rPr>
    </w:lvl>
    <w:lvl w:ilvl="2" w:tplc="38DEFE06" w:tentative="1">
      <w:start w:val="1"/>
      <w:numFmt w:val="bullet"/>
      <w:lvlText w:val="•"/>
      <w:lvlJc w:val="left"/>
      <w:pPr>
        <w:tabs>
          <w:tab w:val="num" w:pos="2160"/>
        </w:tabs>
        <w:ind w:left="2160" w:hanging="360"/>
      </w:pPr>
      <w:rPr>
        <w:rFonts w:ascii="Arial" w:hAnsi="Arial" w:hint="default"/>
      </w:rPr>
    </w:lvl>
    <w:lvl w:ilvl="3" w:tplc="B8ECA56C" w:tentative="1">
      <w:start w:val="1"/>
      <w:numFmt w:val="bullet"/>
      <w:lvlText w:val="•"/>
      <w:lvlJc w:val="left"/>
      <w:pPr>
        <w:tabs>
          <w:tab w:val="num" w:pos="2880"/>
        </w:tabs>
        <w:ind w:left="2880" w:hanging="360"/>
      </w:pPr>
      <w:rPr>
        <w:rFonts w:ascii="Arial" w:hAnsi="Arial" w:hint="default"/>
      </w:rPr>
    </w:lvl>
    <w:lvl w:ilvl="4" w:tplc="CBAC3B12" w:tentative="1">
      <w:start w:val="1"/>
      <w:numFmt w:val="bullet"/>
      <w:lvlText w:val="•"/>
      <w:lvlJc w:val="left"/>
      <w:pPr>
        <w:tabs>
          <w:tab w:val="num" w:pos="3600"/>
        </w:tabs>
        <w:ind w:left="3600" w:hanging="360"/>
      </w:pPr>
      <w:rPr>
        <w:rFonts w:ascii="Arial" w:hAnsi="Arial" w:hint="default"/>
      </w:rPr>
    </w:lvl>
    <w:lvl w:ilvl="5" w:tplc="8938CF22" w:tentative="1">
      <w:start w:val="1"/>
      <w:numFmt w:val="bullet"/>
      <w:lvlText w:val="•"/>
      <w:lvlJc w:val="left"/>
      <w:pPr>
        <w:tabs>
          <w:tab w:val="num" w:pos="4320"/>
        </w:tabs>
        <w:ind w:left="4320" w:hanging="360"/>
      </w:pPr>
      <w:rPr>
        <w:rFonts w:ascii="Arial" w:hAnsi="Arial" w:hint="default"/>
      </w:rPr>
    </w:lvl>
    <w:lvl w:ilvl="6" w:tplc="E5E04716" w:tentative="1">
      <w:start w:val="1"/>
      <w:numFmt w:val="bullet"/>
      <w:lvlText w:val="•"/>
      <w:lvlJc w:val="left"/>
      <w:pPr>
        <w:tabs>
          <w:tab w:val="num" w:pos="5040"/>
        </w:tabs>
        <w:ind w:left="5040" w:hanging="360"/>
      </w:pPr>
      <w:rPr>
        <w:rFonts w:ascii="Arial" w:hAnsi="Arial" w:hint="default"/>
      </w:rPr>
    </w:lvl>
    <w:lvl w:ilvl="7" w:tplc="9BC68796" w:tentative="1">
      <w:start w:val="1"/>
      <w:numFmt w:val="bullet"/>
      <w:lvlText w:val="•"/>
      <w:lvlJc w:val="left"/>
      <w:pPr>
        <w:tabs>
          <w:tab w:val="num" w:pos="5760"/>
        </w:tabs>
        <w:ind w:left="5760" w:hanging="360"/>
      </w:pPr>
      <w:rPr>
        <w:rFonts w:ascii="Arial" w:hAnsi="Arial" w:hint="default"/>
      </w:rPr>
    </w:lvl>
    <w:lvl w:ilvl="8" w:tplc="01F09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FF45CB"/>
    <w:multiLevelType w:val="hybridMultilevel"/>
    <w:tmpl w:val="B654682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2000D">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D365B2E"/>
    <w:multiLevelType w:val="hybridMultilevel"/>
    <w:tmpl w:val="636A703C"/>
    <w:lvl w:ilvl="0" w:tplc="220C77AC">
      <w:start w:val="1"/>
      <w:numFmt w:val="bullet"/>
      <w:lvlText w:val="•"/>
      <w:lvlJc w:val="left"/>
      <w:pPr>
        <w:tabs>
          <w:tab w:val="num" w:pos="720"/>
        </w:tabs>
        <w:ind w:left="720" w:hanging="360"/>
      </w:pPr>
      <w:rPr>
        <w:rFonts w:ascii="Arial" w:hAnsi="Arial" w:hint="default"/>
      </w:rPr>
    </w:lvl>
    <w:lvl w:ilvl="1" w:tplc="644E847A" w:tentative="1">
      <w:start w:val="1"/>
      <w:numFmt w:val="bullet"/>
      <w:lvlText w:val="•"/>
      <w:lvlJc w:val="left"/>
      <w:pPr>
        <w:tabs>
          <w:tab w:val="num" w:pos="1440"/>
        </w:tabs>
        <w:ind w:left="1440" w:hanging="360"/>
      </w:pPr>
      <w:rPr>
        <w:rFonts w:ascii="Arial" w:hAnsi="Arial" w:hint="default"/>
      </w:rPr>
    </w:lvl>
    <w:lvl w:ilvl="2" w:tplc="BD38B094" w:tentative="1">
      <w:start w:val="1"/>
      <w:numFmt w:val="bullet"/>
      <w:lvlText w:val="•"/>
      <w:lvlJc w:val="left"/>
      <w:pPr>
        <w:tabs>
          <w:tab w:val="num" w:pos="2160"/>
        </w:tabs>
        <w:ind w:left="2160" w:hanging="360"/>
      </w:pPr>
      <w:rPr>
        <w:rFonts w:ascii="Arial" w:hAnsi="Arial" w:hint="default"/>
      </w:rPr>
    </w:lvl>
    <w:lvl w:ilvl="3" w:tplc="955A30B6" w:tentative="1">
      <w:start w:val="1"/>
      <w:numFmt w:val="bullet"/>
      <w:lvlText w:val="•"/>
      <w:lvlJc w:val="left"/>
      <w:pPr>
        <w:tabs>
          <w:tab w:val="num" w:pos="2880"/>
        </w:tabs>
        <w:ind w:left="2880" w:hanging="360"/>
      </w:pPr>
      <w:rPr>
        <w:rFonts w:ascii="Arial" w:hAnsi="Arial" w:hint="default"/>
      </w:rPr>
    </w:lvl>
    <w:lvl w:ilvl="4" w:tplc="07722250" w:tentative="1">
      <w:start w:val="1"/>
      <w:numFmt w:val="bullet"/>
      <w:lvlText w:val="•"/>
      <w:lvlJc w:val="left"/>
      <w:pPr>
        <w:tabs>
          <w:tab w:val="num" w:pos="3600"/>
        </w:tabs>
        <w:ind w:left="3600" w:hanging="360"/>
      </w:pPr>
      <w:rPr>
        <w:rFonts w:ascii="Arial" w:hAnsi="Arial" w:hint="default"/>
      </w:rPr>
    </w:lvl>
    <w:lvl w:ilvl="5" w:tplc="C206D4F6" w:tentative="1">
      <w:start w:val="1"/>
      <w:numFmt w:val="bullet"/>
      <w:lvlText w:val="•"/>
      <w:lvlJc w:val="left"/>
      <w:pPr>
        <w:tabs>
          <w:tab w:val="num" w:pos="4320"/>
        </w:tabs>
        <w:ind w:left="4320" w:hanging="360"/>
      </w:pPr>
      <w:rPr>
        <w:rFonts w:ascii="Arial" w:hAnsi="Arial" w:hint="default"/>
      </w:rPr>
    </w:lvl>
    <w:lvl w:ilvl="6" w:tplc="9D38D8A6" w:tentative="1">
      <w:start w:val="1"/>
      <w:numFmt w:val="bullet"/>
      <w:lvlText w:val="•"/>
      <w:lvlJc w:val="left"/>
      <w:pPr>
        <w:tabs>
          <w:tab w:val="num" w:pos="5040"/>
        </w:tabs>
        <w:ind w:left="5040" w:hanging="360"/>
      </w:pPr>
      <w:rPr>
        <w:rFonts w:ascii="Arial" w:hAnsi="Arial" w:hint="default"/>
      </w:rPr>
    </w:lvl>
    <w:lvl w:ilvl="7" w:tplc="14BE44A8" w:tentative="1">
      <w:start w:val="1"/>
      <w:numFmt w:val="bullet"/>
      <w:lvlText w:val="•"/>
      <w:lvlJc w:val="left"/>
      <w:pPr>
        <w:tabs>
          <w:tab w:val="num" w:pos="5760"/>
        </w:tabs>
        <w:ind w:left="5760" w:hanging="360"/>
      </w:pPr>
      <w:rPr>
        <w:rFonts w:ascii="Arial" w:hAnsi="Arial" w:hint="default"/>
      </w:rPr>
    </w:lvl>
    <w:lvl w:ilvl="8" w:tplc="36F6D0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AA68E1"/>
    <w:multiLevelType w:val="hybridMultilevel"/>
    <w:tmpl w:val="6C1A78B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4FA1971"/>
    <w:multiLevelType w:val="hybridMultilevel"/>
    <w:tmpl w:val="726876F6"/>
    <w:lvl w:ilvl="0" w:tplc="251C0BEA">
      <w:start w:val="1"/>
      <w:numFmt w:val="bullet"/>
      <w:lvlText w:val="•"/>
      <w:lvlJc w:val="left"/>
      <w:pPr>
        <w:tabs>
          <w:tab w:val="num" w:pos="720"/>
        </w:tabs>
        <w:ind w:left="720" w:hanging="360"/>
      </w:pPr>
      <w:rPr>
        <w:rFonts w:ascii="Arial" w:hAnsi="Arial" w:hint="default"/>
      </w:rPr>
    </w:lvl>
    <w:lvl w:ilvl="1" w:tplc="9452B342" w:tentative="1">
      <w:start w:val="1"/>
      <w:numFmt w:val="bullet"/>
      <w:lvlText w:val="•"/>
      <w:lvlJc w:val="left"/>
      <w:pPr>
        <w:tabs>
          <w:tab w:val="num" w:pos="1440"/>
        </w:tabs>
        <w:ind w:left="1440" w:hanging="360"/>
      </w:pPr>
      <w:rPr>
        <w:rFonts w:ascii="Arial" w:hAnsi="Arial" w:hint="default"/>
      </w:rPr>
    </w:lvl>
    <w:lvl w:ilvl="2" w:tplc="844E05F8" w:tentative="1">
      <w:start w:val="1"/>
      <w:numFmt w:val="bullet"/>
      <w:lvlText w:val="•"/>
      <w:lvlJc w:val="left"/>
      <w:pPr>
        <w:tabs>
          <w:tab w:val="num" w:pos="2160"/>
        </w:tabs>
        <w:ind w:left="2160" w:hanging="360"/>
      </w:pPr>
      <w:rPr>
        <w:rFonts w:ascii="Arial" w:hAnsi="Arial" w:hint="default"/>
      </w:rPr>
    </w:lvl>
    <w:lvl w:ilvl="3" w:tplc="6272461A" w:tentative="1">
      <w:start w:val="1"/>
      <w:numFmt w:val="bullet"/>
      <w:lvlText w:val="•"/>
      <w:lvlJc w:val="left"/>
      <w:pPr>
        <w:tabs>
          <w:tab w:val="num" w:pos="2880"/>
        </w:tabs>
        <w:ind w:left="2880" w:hanging="360"/>
      </w:pPr>
      <w:rPr>
        <w:rFonts w:ascii="Arial" w:hAnsi="Arial" w:hint="default"/>
      </w:rPr>
    </w:lvl>
    <w:lvl w:ilvl="4" w:tplc="A782BFF2" w:tentative="1">
      <w:start w:val="1"/>
      <w:numFmt w:val="bullet"/>
      <w:lvlText w:val="•"/>
      <w:lvlJc w:val="left"/>
      <w:pPr>
        <w:tabs>
          <w:tab w:val="num" w:pos="3600"/>
        </w:tabs>
        <w:ind w:left="3600" w:hanging="360"/>
      </w:pPr>
      <w:rPr>
        <w:rFonts w:ascii="Arial" w:hAnsi="Arial" w:hint="default"/>
      </w:rPr>
    </w:lvl>
    <w:lvl w:ilvl="5" w:tplc="37869538" w:tentative="1">
      <w:start w:val="1"/>
      <w:numFmt w:val="bullet"/>
      <w:lvlText w:val="•"/>
      <w:lvlJc w:val="left"/>
      <w:pPr>
        <w:tabs>
          <w:tab w:val="num" w:pos="4320"/>
        </w:tabs>
        <w:ind w:left="4320" w:hanging="360"/>
      </w:pPr>
      <w:rPr>
        <w:rFonts w:ascii="Arial" w:hAnsi="Arial" w:hint="default"/>
      </w:rPr>
    </w:lvl>
    <w:lvl w:ilvl="6" w:tplc="020847CC" w:tentative="1">
      <w:start w:val="1"/>
      <w:numFmt w:val="bullet"/>
      <w:lvlText w:val="•"/>
      <w:lvlJc w:val="left"/>
      <w:pPr>
        <w:tabs>
          <w:tab w:val="num" w:pos="5040"/>
        </w:tabs>
        <w:ind w:left="5040" w:hanging="360"/>
      </w:pPr>
      <w:rPr>
        <w:rFonts w:ascii="Arial" w:hAnsi="Arial" w:hint="default"/>
      </w:rPr>
    </w:lvl>
    <w:lvl w:ilvl="7" w:tplc="D99840FC" w:tentative="1">
      <w:start w:val="1"/>
      <w:numFmt w:val="bullet"/>
      <w:lvlText w:val="•"/>
      <w:lvlJc w:val="left"/>
      <w:pPr>
        <w:tabs>
          <w:tab w:val="num" w:pos="5760"/>
        </w:tabs>
        <w:ind w:left="5760" w:hanging="360"/>
      </w:pPr>
      <w:rPr>
        <w:rFonts w:ascii="Arial" w:hAnsi="Arial" w:hint="default"/>
      </w:rPr>
    </w:lvl>
    <w:lvl w:ilvl="8" w:tplc="80B8BA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A745B9"/>
    <w:multiLevelType w:val="hybridMultilevel"/>
    <w:tmpl w:val="3D8A3162"/>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79212F75"/>
    <w:multiLevelType w:val="hybridMultilevel"/>
    <w:tmpl w:val="B4746E3C"/>
    <w:lvl w:ilvl="0" w:tplc="64265CE0">
      <w:start w:val="1"/>
      <w:numFmt w:val="bullet"/>
      <w:lvlText w:val="•"/>
      <w:lvlJc w:val="left"/>
      <w:pPr>
        <w:tabs>
          <w:tab w:val="num" w:pos="720"/>
        </w:tabs>
        <w:ind w:left="720" w:hanging="360"/>
      </w:pPr>
      <w:rPr>
        <w:rFonts w:ascii="Arial" w:hAnsi="Arial" w:hint="default"/>
      </w:rPr>
    </w:lvl>
    <w:lvl w:ilvl="1" w:tplc="87DEC9F6" w:tentative="1">
      <w:start w:val="1"/>
      <w:numFmt w:val="bullet"/>
      <w:lvlText w:val="•"/>
      <w:lvlJc w:val="left"/>
      <w:pPr>
        <w:tabs>
          <w:tab w:val="num" w:pos="1440"/>
        </w:tabs>
        <w:ind w:left="1440" w:hanging="360"/>
      </w:pPr>
      <w:rPr>
        <w:rFonts w:ascii="Arial" w:hAnsi="Arial" w:hint="default"/>
      </w:rPr>
    </w:lvl>
    <w:lvl w:ilvl="2" w:tplc="5BBE0F64" w:tentative="1">
      <w:start w:val="1"/>
      <w:numFmt w:val="bullet"/>
      <w:lvlText w:val="•"/>
      <w:lvlJc w:val="left"/>
      <w:pPr>
        <w:tabs>
          <w:tab w:val="num" w:pos="2160"/>
        </w:tabs>
        <w:ind w:left="2160" w:hanging="360"/>
      </w:pPr>
      <w:rPr>
        <w:rFonts w:ascii="Arial" w:hAnsi="Arial" w:hint="default"/>
      </w:rPr>
    </w:lvl>
    <w:lvl w:ilvl="3" w:tplc="F14C9814" w:tentative="1">
      <w:start w:val="1"/>
      <w:numFmt w:val="bullet"/>
      <w:lvlText w:val="•"/>
      <w:lvlJc w:val="left"/>
      <w:pPr>
        <w:tabs>
          <w:tab w:val="num" w:pos="2880"/>
        </w:tabs>
        <w:ind w:left="2880" w:hanging="360"/>
      </w:pPr>
      <w:rPr>
        <w:rFonts w:ascii="Arial" w:hAnsi="Arial" w:hint="default"/>
      </w:rPr>
    </w:lvl>
    <w:lvl w:ilvl="4" w:tplc="DA743310" w:tentative="1">
      <w:start w:val="1"/>
      <w:numFmt w:val="bullet"/>
      <w:lvlText w:val="•"/>
      <w:lvlJc w:val="left"/>
      <w:pPr>
        <w:tabs>
          <w:tab w:val="num" w:pos="3600"/>
        </w:tabs>
        <w:ind w:left="3600" w:hanging="360"/>
      </w:pPr>
      <w:rPr>
        <w:rFonts w:ascii="Arial" w:hAnsi="Arial" w:hint="default"/>
      </w:rPr>
    </w:lvl>
    <w:lvl w:ilvl="5" w:tplc="7D9C2796" w:tentative="1">
      <w:start w:val="1"/>
      <w:numFmt w:val="bullet"/>
      <w:lvlText w:val="•"/>
      <w:lvlJc w:val="left"/>
      <w:pPr>
        <w:tabs>
          <w:tab w:val="num" w:pos="4320"/>
        </w:tabs>
        <w:ind w:left="4320" w:hanging="360"/>
      </w:pPr>
      <w:rPr>
        <w:rFonts w:ascii="Arial" w:hAnsi="Arial" w:hint="default"/>
      </w:rPr>
    </w:lvl>
    <w:lvl w:ilvl="6" w:tplc="32DCAC9A" w:tentative="1">
      <w:start w:val="1"/>
      <w:numFmt w:val="bullet"/>
      <w:lvlText w:val="•"/>
      <w:lvlJc w:val="left"/>
      <w:pPr>
        <w:tabs>
          <w:tab w:val="num" w:pos="5040"/>
        </w:tabs>
        <w:ind w:left="5040" w:hanging="360"/>
      </w:pPr>
      <w:rPr>
        <w:rFonts w:ascii="Arial" w:hAnsi="Arial" w:hint="default"/>
      </w:rPr>
    </w:lvl>
    <w:lvl w:ilvl="7" w:tplc="4036E334" w:tentative="1">
      <w:start w:val="1"/>
      <w:numFmt w:val="bullet"/>
      <w:lvlText w:val="•"/>
      <w:lvlJc w:val="left"/>
      <w:pPr>
        <w:tabs>
          <w:tab w:val="num" w:pos="5760"/>
        </w:tabs>
        <w:ind w:left="5760" w:hanging="360"/>
      </w:pPr>
      <w:rPr>
        <w:rFonts w:ascii="Arial" w:hAnsi="Arial" w:hint="default"/>
      </w:rPr>
    </w:lvl>
    <w:lvl w:ilvl="8" w:tplc="DBCCAF9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4"/>
  </w:num>
  <w:num w:numId="4">
    <w:abstractNumId w:val="10"/>
  </w:num>
  <w:num w:numId="5">
    <w:abstractNumId w:val="6"/>
  </w:num>
  <w:num w:numId="6">
    <w:abstractNumId w:val="8"/>
  </w:num>
  <w:num w:numId="7">
    <w:abstractNumId w:val="1"/>
  </w:num>
  <w:num w:numId="8">
    <w:abstractNumId w:val="0"/>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A8"/>
    <w:rsid w:val="00027BA5"/>
    <w:rsid w:val="00043302"/>
    <w:rsid w:val="00067B3C"/>
    <w:rsid w:val="000700ED"/>
    <w:rsid w:val="00073AD9"/>
    <w:rsid w:val="000846D8"/>
    <w:rsid w:val="000B0AB6"/>
    <w:rsid w:val="000E645F"/>
    <w:rsid w:val="00126DB5"/>
    <w:rsid w:val="001A2722"/>
    <w:rsid w:val="00204699"/>
    <w:rsid w:val="00210856"/>
    <w:rsid w:val="0026381A"/>
    <w:rsid w:val="002807EF"/>
    <w:rsid w:val="002C6408"/>
    <w:rsid w:val="002E658D"/>
    <w:rsid w:val="00337354"/>
    <w:rsid w:val="003511C6"/>
    <w:rsid w:val="003579F3"/>
    <w:rsid w:val="00390CE6"/>
    <w:rsid w:val="00441D1F"/>
    <w:rsid w:val="0049438C"/>
    <w:rsid w:val="004B41A9"/>
    <w:rsid w:val="004B522F"/>
    <w:rsid w:val="004E3A47"/>
    <w:rsid w:val="00504A9E"/>
    <w:rsid w:val="00516229"/>
    <w:rsid w:val="0054022E"/>
    <w:rsid w:val="00560DC7"/>
    <w:rsid w:val="005634B6"/>
    <w:rsid w:val="005842D6"/>
    <w:rsid w:val="005D2644"/>
    <w:rsid w:val="0060216C"/>
    <w:rsid w:val="0061484E"/>
    <w:rsid w:val="006262C6"/>
    <w:rsid w:val="00627924"/>
    <w:rsid w:val="00655CB0"/>
    <w:rsid w:val="0067447E"/>
    <w:rsid w:val="006C23EF"/>
    <w:rsid w:val="006C262E"/>
    <w:rsid w:val="00700882"/>
    <w:rsid w:val="00724BA8"/>
    <w:rsid w:val="007C2508"/>
    <w:rsid w:val="007C49FC"/>
    <w:rsid w:val="007E4E2E"/>
    <w:rsid w:val="0081447E"/>
    <w:rsid w:val="008149A4"/>
    <w:rsid w:val="00830676"/>
    <w:rsid w:val="008456B3"/>
    <w:rsid w:val="008600FA"/>
    <w:rsid w:val="0087000A"/>
    <w:rsid w:val="00887743"/>
    <w:rsid w:val="00890960"/>
    <w:rsid w:val="00890DBA"/>
    <w:rsid w:val="00893E2E"/>
    <w:rsid w:val="008B00DC"/>
    <w:rsid w:val="008D5A94"/>
    <w:rsid w:val="008D7CDB"/>
    <w:rsid w:val="008E53FD"/>
    <w:rsid w:val="008E6009"/>
    <w:rsid w:val="008F0F6A"/>
    <w:rsid w:val="008F24F3"/>
    <w:rsid w:val="008F3536"/>
    <w:rsid w:val="008F517D"/>
    <w:rsid w:val="00927163"/>
    <w:rsid w:val="009448A7"/>
    <w:rsid w:val="009706D6"/>
    <w:rsid w:val="009759D7"/>
    <w:rsid w:val="00984A50"/>
    <w:rsid w:val="00985B8E"/>
    <w:rsid w:val="009A09D9"/>
    <w:rsid w:val="009A1C98"/>
    <w:rsid w:val="009B5FD3"/>
    <w:rsid w:val="00A02F87"/>
    <w:rsid w:val="00A16E89"/>
    <w:rsid w:val="00A731ED"/>
    <w:rsid w:val="00A8196A"/>
    <w:rsid w:val="00AA50B8"/>
    <w:rsid w:val="00AD1BB5"/>
    <w:rsid w:val="00B01013"/>
    <w:rsid w:val="00B1356F"/>
    <w:rsid w:val="00B877E9"/>
    <w:rsid w:val="00BA68D5"/>
    <w:rsid w:val="00C056B5"/>
    <w:rsid w:val="00C246DB"/>
    <w:rsid w:val="00C276FB"/>
    <w:rsid w:val="00C52199"/>
    <w:rsid w:val="00C5573A"/>
    <w:rsid w:val="00C70721"/>
    <w:rsid w:val="00C76ED3"/>
    <w:rsid w:val="00C81932"/>
    <w:rsid w:val="00C935DA"/>
    <w:rsid w:val="00CC763C"/>
    <w:rsid w:val="00CD63C4"/>
    <w:rsid w:val="00D01866"/>
    <w:rsid w:val="00D04C88"/>
    <w:rsid w:val="00D228F0"/>
    <w:rsid w:val="00D24D8B"/>
    <w:rsid w:val="00D40363"/>
    <w:rsid w:val="00D531DE"/>
    <w:rsid w:val="00D66FEB"/>
    <w:rsid w:val="00D8699B"/>
    <w:rsid w:val="00DB3E97"/>
    <w:rsid w:val="00DC1541"/>
    <w:rsid w:val="00DC72EA"/>
    <w:rsid w:val="00E73867"/>
    <w:rsid w:val="00EB2D1F"/>
    <w:rsid w:val="00EC1D96"/>
    <w:rsid w:val="00EE1946"/>
    <w:rsid w:val="00EE4A5E"/>
    <w:rsid w:val="00EF6C99"/>
    <w:rsid w:val="00F1507E"/>
    <w:rsid w:val="00F363F3"/>
    <w:rsid w:val="00F4182E"/>
    <w:rsid w:val="00F61A92"/>
    <w:rsid w:val="00F74F59"/>
    <w:rsid w:val="00FA6046"/>
    <w:rsid w:val="00FA6E7F"/>
    <w:rsid w:val="00FC2BE1"/>
    <w:rsid w:val="00FF03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181E"/>
  <w15:chartTrackingRefBased/>
  <w15:docId w15:val="{AAABD913-5617-4F81-8168-6EAA982BD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24B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24B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24B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24B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24B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24B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B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B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B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B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24B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4B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4B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4B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4B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B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B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BA8"/>
    <w:rPr>
      <w:rFonts w:eastAsiaTheme="majorEastAsia" w:cstheme="majorBidi"/>
      <w:color w:val="272727" w:themeColor="text1" w:themeTint="D8"/>
    </w:rPr>
  </w:style>
  <w:style w:type="paragraph" w:styleId="Title">
    <w:name w:val="Title"/>
    <w:basedOn w:val="Normal"/>
    <w:next w:val="Normal"/>
    <w:link w:val="TitleChar"/>
    <w:uiPriority w:val="10"/>
    <w:qFormat/>
    <w:rsid w:val="00724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4B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4B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4B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4BA8"/>
    <w:pPr>
      <w:spacing w:before="160"/>
      <w:jc w:val="center"/>
    </w:pPr>
    <w:rPr>
      <w:i/>
      <w:iCs/>
      <w:color w:val="404040" w:themeColor="text1" w:themeTint="BF"/>
    </w:rPr>
  </w:style>
  <w:style w:type="character" w:customStyle="1" w:styleId="QuoteChar">
    <w:name w:val="Quote Char"/>
    <w:basedOn w:val="DefaultParagraphFont"/>
    <w:link w:val="Quote"/>
    <w:uiPriority w:val="29"/>
    <w:rsid w:val="00724BA8"/>
    <w:rPr>
      <w:i/>
      <w:iCs/>
      <w:color w:val="404040" w:themeColor="text1" w:themeTint="BF"/>
    </w:rPr>
  </w:style>
  <w:style w:type="paragraph" w:styleId="ListParagraph">
    <w:name w:val="List Paragraph"/>
    <w:basedOn w:val="Normal"/>
    <w:uiPriority w:val="34"/>
    <w:qFormat/>
    <w:rsid w:val="00724BA8"/>
    <w:pPr>
      <w:ind w:left="720"/>
      <w:contextualSpacing/>
    </w:pPr>
  </w:style>
  <w:style w:type="character" w:styleId="IntenseEmphasis">
    <w:name w:val="Intense Emphasis"/>
    <w:basedOn w:val="DefaultParagraphFont"/>
    <w:uiPriority w:val="21"/>
    <w:qFormat/>
    <w:rsid w:val="00724BA8"/>
    <w:rPr>
      <w:i/>
      <w:iCs/>
      <w:color w:val="2F5496" w:themeColor="accent1" w:themeShade="BF"/>
    </w:rPr>
  </w:style>
  <w:style w:type="paragraph" w:styleId="IntenseQuote">
    <w:name w:val="Intense Quote"/>
    <w:basedOn w:val="Normal"/>
    <w:next w:val="Normal"/>
    <w:link w:val="IntenseQuoteChar"/>
    <w:uiPriority w:val="30"/>
    <w:qFormat/>
    <w:rsid w:val="00724B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24BA8"/>
    <w:rPr>
      <w:i/>
      <w:iCs/>
      <w:color w:val="2F5496" w:themeColor="accent1" w:themeShade="BF"/>
    </w:rPr>
  </w:style>
  <w:style w:type="character" w:styleId="IntenseReference">
    <w:name w:val="Intense Reference"/>
    <w:basedOn w:val="DefaultParagraphFont"/>
    <w:uiPriority w:val="32"/>
    <w:qFormat/>
    <w:rsid w:val="00724BA8"/>
    <w:rPr>
      <w:b/>
      <w:bCs/>
      <w:smallCaps/>
      <w:color w:val="2F5496" w:themeColor="accent1" w:themeShade="BF"/>
      <w:spacing w:val="5"/>
    </w:rPr>
  </w:style>
  <w:style w:type="character" w:styleId="Hyperlink">
    <w:name w:val="Hyperlink"/>
    <w:basedOn w:val="DefaultParagraphFont"/>
    <w:uiPriority w:val="99"/>
    <w:unhideWhenUsed/>
    <w:rsid w:val="00FF03E5"/>
    <w:rPr>
      <w:color w:val="0563C1" w:themeColor="hyperlink"/>
      <w:u w:val="single"/>
    </w:rPr>
  </w:style>
  <w:style w:type="character" w:customStyle="1" w:styleId="UnresolvedMention">
    <w:name w:val="Unresolved Mention"/>
    <w:basedOn w:val="DefaultParagraphFont"/>
    <w:uiPriority w:val="99"/>
    <w:semiHidden/>
    <w:unhideWhenUsed/>
    <w:rsid w:val="00FF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Боряна Димитрова</dc:creator>
  <cp:keywords/>
  <dc:description/>
  <cp:lastModifiedBy>Цветелина Цветанова</cp:lastModifiedBy>
  <cp:revision>12</cp:revision>
  <cp:lastPrinted>2025-12-28T12:26:00Z</cp:lastPrinted>
  <dcterms:created xsi:type="dcterms:W3CDTF">2025-12-28T11:59:00Z</dcterms:created>
  <dcterms:modified xsi:type="dcterms:W3CDTF">2026-03-04T13:02:00Z</dcterms:modified>
</cp:coreProperties>
</file>